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AC1C5" w14:textId="77777777" w:rsidR="007355C5" w:rsidRDefault="009503F3">
      <w:pPr>
        <w:spacing w:before="2400"/>
        <w:jc w:val="center"/>
      </w:pPr>
      <w:r>
        <w:rPr>
          <w:b/>
          <w:bCs/>
          <w:color w:val="0F3D5F"/>
          <w:sz w:val="56"/>
          <w:szCs w:val="56"/>
        </w:rPr>
        <w:t>Azure AI Playbook for Banking</w:t>
      </w:r>
    </w:p>
    <w:p w14:paraId="2EF87F41" w14:textId="77777777" w:rsidR="007355C5" w:rsidRDefault="00AC17C1">
      <w:pPr>
        <w:spacing w:before="240" w:after="120"/>
        <w:jc w:val="center"/>
        <w:rPr>
          <w:color w:val="1F6FB2"/>
          <w:sz w:val="26"/>
          <w:szCs w:val="26"/>
        </w:rPr>
      </w:pPr>
      <w:r>
        <w:rPr>
          <w:color w:val="1F6FB2"/>
          <w:sz w:val="26"/>
          <w:szCs w:val="26"/>
        </w:rPr>
        <w:t>A Practical Framework for Deploying Artificial Intelligence Responsibly and at Scale on Microsoft Azure</w:t>
      </w:r>
    </w:p>
    <w:p w14:paraId="0E36AE8B" w14:textId="77777777" w:rsidR="007355C5" w:rsidRDefault="00AC17C1">
      <w:pPr>
        <w:spacing w:before="480"/>
        <w:jc w:val="center"/>
      </w:pPr>
      <w:r>
        <w:rPr>
          <w:i/>
          <w:iCs/>
        </w:rPr>
        <w:t>Master Reference Document — Applicable to Any Banking Institution Standardizing on Microsoft Azure and Azure AI</w:t>
      </w:r>
    </w:p>
    <w:p w14:paraId="62D2BA60" w14:textId="77777777" w:rsidR="007355C5" w:rsidRDefault="00AC17C1">
      <w:pPr>
        <w:spacing w:before="120"/>
        <w:jc w:val="center"/>
      </w:pPr>
      <w:r>
        <w:rPr>
          <w:i/>
          <w:iCs/>
          <w:color w:val="999999"/>
          <w:sz w:val="18"/>
          <w:szCs w:val="18"/>
        </w:rPr>
        <w:t>Regulatory content current as of July 2026 (Canada &amp; United States) — see Section 10</w:t>
      </w:r>
    </w:p>
    <w:p w14:paraId="4944D156" w14:textId="77777777" w:rsidR="004109FB" w:rsidRDefault="004109FB">
      <w:pPr>
        <w:jc w:val="center"/>
      </w:pPr>
    </w:p>
    <w:p w14:paraId="701FAFA0" w14:textId="77777777" w:rsidR="004109FB" w:rsidRDefault="00AC17C1">
      <w:pPr>
        <w:jc w:val="center"/>
      </w:pPr>
      <w:r>
        <w:rPr>
          <w:b/>
        </w:rPr>
        <w:t>Created by John Straumann</w:t>
      </w:r>
    </w:p>
    <w:p w14:paraId="0AA16FBC" w14:textId="77777777" w:rsidR="004109FB" w:rsidRDefault="00AC17C1">
      <w:pPr>
        <w:jc w:val="center"/>
      </w:pPr>
      <w:r>
        <w:t>Field CAIO Officer, Microsoft South</w:t>
      </w:r>
    </w:p>
    <w:p w14:paraId="6E483445" w14:textId="77777777" w:rsidR="004109FB" w:rsidRDefault="00AC17C1">
      <w:pPr>
        <w:jc w:val="center"/>
      </w:pPr>
      <w:r>
        <w:t>john.straumann@microsoft.com</w:t>
      </w:r>
    </w:p>
    <w:p w14:paraId="630A2503" w14:textId="77777777" w:rsidR="004109FB" w:rsidRDefault="00AC17C1">
      <w:pPr>
        <w:jc w:val="center"/>
      </w:pPr>
      <w:r>
        <w:t>July 26, 2026</w:t>
      </w:r>
    </w:p>
    <w:p w14:paraId="173ADE4D" w14:textId="77777777" w:rsidR="00AF536F" w:rsidRDefault="00AF536F">
      <w:pPr>
        <w:jc w:val="center"/>
      </w:pPr>
    </w:p>
    <w:p w14:paraId="486EED44" w14:textId="77777777" w:rsidR="004109FB" w:rsidRDefault="004109FB">
      <w:pPr>
        <w:jc w:val="center"/>
      </w:pPr>
    </w:p>
    <w:p w14:paraId="62911381" w14:textId="77777777" w:rsidR="007355C5" w:rsidRDefault="00AC17C1">
      <w:r>
        <w:br w:type="page"/>
      </w:r>
    </w:p>
    <w:p w14:paraId="72A638D7" w14:textId="77777777" w:rsidR="004109FB" w:rsidRDefault="00AC17C1">
      <w:pPr>
        <w:pStyle w:val="Heading1"/>
        <w:pageBreakBefore/>
      </w:pPr>
      <w:bookmarkStart w:id="0" w:name="_Toc241649662"/>
      <w:r>
        <w:rPr>
          <w:color w:val="C00000"/>
          <w:sz w:val="36"/>
        </w:rPr>
        <w:lastRenderedPageBreak/>
        <w:t>Important Disclaimer</w:t>
      </w:r>
      <w:bookmarkEnd w:id="0"/>
    </w:p>
    <w:p w14:paraId="6DDF8F68" w14:textId="77777777" w:rsidR="004109FB" w:rsidRDefault="00AC17C1">
      <w:r>
        <w:rPr>
          <w:b/>
          <w:color w:val="C00000"/>
        </w:rPr>
        <w:t>This document is not a Microsoft product and is not official Microsoft content.</w:t>
      </w:r>
    </w:p>
    <w:p w14:paraId="348D7A00" w14:textId="77777777" w:rsidR="004109FB" w:rsidRDefault="00AC17C1">
      <w:r>
        <w:t>This playbook was created by John Straumann and is the independent work of its author. It is not produced, reviewed, endorsed, approved, or published by Microsoft Corporation. Although the author works at Microsoft, nothing in this document is an official Microsoft statement, commitment, recommendation, roadmap, or position, and it does not create any obligation on Microsoft.</w:t>
      </w:r>
    </w:p>
    <w:p w14:paraId="328E1729" w14:textId="77777777" w:rsidR="004109FB" w:rsidRDefault="00AC17C1">
      <w:r>
        <w:rPr>
          <w:b/>
        </w:rPr>
        <w:t>Not official curriculum or exam preparation</w:t>
      </w:r>
      <w:r>
        <w:t>: this document is not official Microsoft training material, official Microsoft curriculum, or preparation for any Microsoft certification examination. It is intended for self-paced reading and as a working reference. Where Microsoft Learn or Microsoft documentation is referenced, that content remains the authoritative source and is governed by its own terms.</w:t>
      </w:r>
    </w:p>
    <w:p w14:paraId="101B4C79" w14:textId="77777777" w:rsidR="004109FB" w:rsidRDefault="00AC17C1">
      <w:r>
        <w:rPr>
          <w:b/>
        </w:rPr>
        <w:t>No warranty</w:t>
      </w:r>
      <w:r>
        <w:t>: the material is provided “as is”, without representation, guarantee, condition, or warranty of any kind, whether express or implied, including as to accuracy, completeness, currency, merchantability, or fitness for a particular purpose. Microsoft makes no guarantees or warranties about this material and accepts no responsibility or liability for it. To the maximum extent permitted by law, neither Microsoft nor the author is liable for any loss or damage of any kind arising from reliance on this document.</w:t>
      </w:r>
    </w:p>
    <w:p w14:paraId="025189DD" w14:textId="77777777" w:rsidR="004109FB" w:rsidRDefault="00AC17C1">
      <w:r>
        <w:t>Please also note the following before acting on anything in this playbook:</w:t>
      </w:r>
    </w:p>
    <w:p w14:paraId="0D2296D7" w14:textId="77777777" w:rsidR="004109FB" w:rsidRDefault="00AC17C1">
      <w:pPr>
        <w:pStyle w:val="ListParagraph"/>
        <w:numPr>
          <w:ilvl w:val="0"/>
          <w:numId w:val="2"/>
        </w:numPr>
      </w:pPr>
      <w:r>
        <w:t>This is not legal, regulatory, compliance, privacy, tax, financial, actuarial, or audit advice. Regulatory material reflects the author’s understanding as of the date shown on the cover and changes frequently. Obtain advice from qualified counsel and confirm current obligations with your own regulators and supervisors before making decisions.</w:t>
      </w:r>
    </w:p>
    <w:p w14:paraId="03016864" w14:textId="77777777" w:rsidR="004109FB" w:rsidRDefault="00AC17C1">
      <w:pPr>
        <w:pStyle w:val="ListParagraph"/>
        <w:numPr>
          <w:ilvl w:val="0"/>
          <w:numId w:val="2"/>
        </w:numPr>
      </w:pPr>
      <w:r>
        <w:t>Azure and Microsoft service names, capabilities, regional availability, service limits, licensing, and pricing change often, and some capabilities described here may be in preview. Verify everything against current Microsoft documentation and your own commercial agreements before you design, budget, or commit.</w:t>
      </w:r>
    </w:p>
    <w:p w14:paraId="680E63DD" w14:textId="77777777" w:rsidR="004109FB" w:rsidRDefault="00AC17C1">
      <w:pPr>
        <w:pStyle w:val="ListParagraph"/>
        <w:numPr>
          <w:ilvl w:val="0"/>
          <w:numId w:val="2"/>
        </w:numPr>
      </w:pPr>
      <w:r>
        <w:t>Organization names, roles, metrics, scenarios, and figures are illustrative. “The Organization” is a generic placeholder and does not describe any specific customer, and no confidential or customer-identifying information is included.</w:t>
      </w:r>
    </w:p>
    <w:p w14:paraId="0B19F1EE" w14:textId="77777777" w:rsidR="004109FB" w:rsidRDefault="00AC17C1">
      <w:pPr>
        <w:pStyle w:val="ListParagraph"/>
        <w:numPr>
          <w:ilvl w:val="0"/>
          <w:numId w:val="2"/>
        </w:numPr>
      </w:pPr>
      <w:r>
        <w:t>Architecture, governance, risk-tiering, and control recommendations are starting points that must be adapted. Accountability for any adoption, deployment, or governance decision remains entirely with the adopting organization.</w:t>
      </w:r>
    </w:p>
    <w:p w14:paraId="7D62F679" w14:textId="77777777" w:rsidR="004109FB" w:rsidRDefault="00AC17C1">
      <w:r>
        <w:rPr>
          <w:b/>
        </w:rPr>
        <w:t>In short</w:t>
      </w:r>
      <w:r>
        <w:t>: treat this as one practitioner’s structured, self-paced reference, not as a Microsoft deliverable, and not as a substitute for your own legal, risk, security, and architectural review.</w:t>
      </w:r>
    </w:p>
    <w:p w14:paraId="589676F1" w14:textId="77777777" w:rsidR="004109FB" w:rsidRDefault="00AC17C1">
      <w:r>
        <w:t>Microsoft, Azure, Microsoft 365, Microsoft Entra, Microsoft Purview, Microsoft Fabric, Dynamics 365, Power Apps, and Copilot are trademarks of the Microsoft group of companies. All other trademarks are the property of their respective owners.</w:t>
      </w:r>
    </w:p>
    <w:p w14:paraId="1F5DE67A" w14:textId="77777777" w:rsidR="007355C5" w:rsidRDefault="00AC17C1">
      <w:pPr>
        <w:pageBreakBefore/>
        <w:spacing w:before="280" w:after="120"/>
      </w:pPr>
      <w:r>
        <w:rPr>
          <w:b/>
          <w:color w:val="1F3964"/>
          <w:sz w:val="36"/>
        </w:rPr>
        <w:lastRenderedPageBreak/>
        <w:t>Table of Contents</w:t>
      </w:r>
    </w:p>
    <w:sdt>
      <w:sdtPr>
        <w:alias w:val="Table of Contents"/>
        <w:id w:val="-1789199557"/>
      </w:sdtPr>
      <w:sdtEndPr/>
      <w:sdtContent>
        <w:p w14:paraId="1F346515" w14:textId="68CD724A" w:rsidR="00F168B9" w:rsidRDefault="00AC17C1">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TOC \h \o "1-3"</w:instrText>
          </w:r>
          <w:r>
            <w:fldChar w:fldCharType="separate"/>
          </w:r>
          <w:hyperlink w:anchor="_Toc241649662" w:history="1">
            <w:r w:rsidR="00F168B9" w:rsidRPr="00340E4A">
              <w:rPr>
                <w:rStyle w:val="Hyperlink"/>
                <w:noProof/>
              </w:rPr>
              <w:t>Important Disclaimer</w:t>
            </w:r>
            <w:r w:rsidR="00F168B9">
              <w:rPr>
                <w:noProof/>
              </w:rPr>
              <w:tab/>
            </w:r>
            <w:r w:rsidR="00F168B9">
              <w:rPr>
                <w:noProof/>
              </w:rPr>
              <w:fldChar w:fldCharType="begin"/>
            </w:r>
            <w:r w:rsidR="00F168B9">
              <w:rPr>
                <w:noProof/>
              </w:rPr>
              <w:instrText xml:space="preserve"> PAGEREF _Toc241649662 \h </w:instrText>
            </w:r>
            <w:r w:rsidR="00F168B9">
              <w:rPr>
                <w:noProof/>
              </w:rPr>
            </w:r>
            <w:r w:rsidR="00F168B9">
              <w:rPr>
                <w:noProof/>
              </w:rPr>
              <w:fldChar w:fldCharType="separate"/>
            </w:r>
            <w:r w:rsidR="00F168B9">
              <w:rPr>
                <w:noProof/>
              </w:rPr>
              <w:t>2</w:t>
            </w:r>
            <w:r w:rsidR="00F168B9">
              <w:rPr>
                <w:noProof/>
              </w:rPr>
              <w:fldChar w:fldCharType="end"/>
            </w:r>
          </w:hyperlink>
        </w:p>
        <w:p w14:paraId="38169605" w14:textId="05AB349B"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63" w:history="1">
            <w:r w:rsidRPr="00340E4A">
              <w:rPr>
                <w:rStyle w:val="Hyperlink"/>
                <w:noProof/>
              </w:rPr>
              <w:t>1. Purpose and How to Use This Document</w:t>
            </w:r>
            <w:r>
              <w:rPr>
                <w:noProof/>
              </w:rPr>
              <w:tab/>
            </w:r>
            <w:r>
              <w:rPr>
                <w:noProof/>
              </w:rPr>
              <w:fldChar w:fldCharType="begin"/>
            </w:r>
            <w:r>
              <w:rPr>
                <w:noProof/>
              </w:rPr>
              <w:instrText xml:space="preserve"> PAGEREF _Toc241649663 \h </w:instrText>
            </w:r>
            <w:r>
              <w:rPr>
                <w:noProof/>
              </w:rPr>
            </w:r>
            <w:r>
              <w:rPr>
                <w:noProof/>
              </w:rPr>
              <w:fldChar w:fldCharType="separate"/>
            </w:r>
            <w:r>
              <w:rPr>
                <w:noProof/>
              </w:rPr>
              <w:t>7</w:t>
            </w:r>
            <w:r>
              <w:rPr>
                <w:noProof/>
              </w:rPr>
              <w:fldChar w:fldCharType="end"/>
            </w:r>
          </w:hyperlink>
        </w:p>
        <w:p w14:paraId="55860AEB" w14:textId="71DC9630"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64" w:history="1">
            <w:r w:rsidRPr="00340E4A">
              <w:rPr>
                <w:rStyle w:val="Hyperlink"/>
                <w:noProof/>
              </w:rPr>
              <w:t>2. Executive Summary</w:t>
            </w:r>
            <w:r>
              <w:rPr>
                <w:noProof/>
              </w:rPr>
              <w:tab/>
            </w:r>
            <w:r>
              <w:rPr>
                <w:noProof/>
              </w:rPr>
              <w:fldChar w:fldCharType="begin"/>
            </w:r>
            <w:r>
              <w:rPr>
                <w:noProof/>
              </w:rPr>
              <w:instrText xml:space="preserve"> PAGEREF _Toc241649664 \h </w:instrText>
            </w:r>
            <w:r>
              <w:rPr>
                <w:noProof/>
              </w:rPr>
            </w:r>
            <w:r>
              <w:rPr>
                <w:noProof/>
              </w:rPr>
              <w:fldChar w:fldCharType="separate"/>
            </w:r>
            <w:r>
              <w:rPr>
                <w:noProof/>
              </w:rPr>
              <w:t>7</w:t>
            </w:r>
            <w:r>
              <w:rPr>
                <w:noProof/>
              </w:rPr>
              <w:fldChar w:fldCharType="end"/>
            </w:r>
          </w:hyperlink>
        </w:p>
        <w:p w14:paraId="125DAFB1" w14:textId="1A4C885D"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65" w:history="1">
            <w:r w:rsidRPr="00340E4A">
              <w:rPr>
                <w:rStyle w:val="Hyperlink"/>
                <w:noProof/>
              </w:rPr>
              <w:t>2.1 Purpose of This Document</w:t>
            </w:r>
            <w:r>
              <w:rPr>
                <w:noProof/>
              </w:rPr>
              <w:tab/>
            </w:r>
            <w:r>
              <w:rPr>
                <w:noProof/>
              </w:rPr>
              <w:fldChar w:fldCharType="begin"/>
            </w:r>
            <w:r>
              <w:rPr>
                <w:noProof/>
              </w:rPr>
              <w:instrText xml:space="preserve"> PAGEREF _Toc241649665 \h </w:instrText>
            </w:r>
            <w:r>
              <w:rPr>
                <w:noProof/>
              </w:rPr>
            </w:r>
            <w:r>
              <w:rPr>
                <w:noProof/>
              </w:rPr>
              <w:fldChar w:fldCharType="separate"/>
            </w:r>
            <w:r>
              <w:rPr>
                <w:noProof/>
              </w:rPr>
              <w:t>7</w:t>
            </w:r>
            <w:r>
              <w:rPr>
                <w:noProof/>
              </w:rPr>
              <w:fldChar w:fldCharType="end"/>
            </w:r>
          </w:hyperlink>
        </w:p>
        <w:p w14:paraId="2F29D65E" w14:textId="09465A8E"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66" w:history="1">
            <w:r w:rsidRPr="00340E4A">
              <w:rPr>
                <w:rStyle w:val="Hyperlink"/>
                <w:noProof/>
              </w:rPr>
              <w:t>2.2 Goals of the Playbook</w:t>
            </w:r>
            <w:r>
              <w:rPr>
                <w:noProof/>
              </w:rPr>
              <w:tab/>
            </w:r>
            <w:r>
              <w:rPr>
                <w:noProof/>
              </w:rPr>
              <w:fldChar w:fldCharType="begin"/>
            </w:r>
            <w:r>
              <w:rPr>
                <w:noProof/>
              </w:rPr>
              <w:instrText xml:space="preserve"> PAGEREF _Toc241649666 \h </w:instrText>
            </w:r>
            <w:r>
              <w:rPr>
                <w:noProof/>
              </w:rPr>
            </w:r>
            <w:r>
              <w:rPr>
                <w:noProof/>
              </w:rPr>
              <w:fldChar w:fldCharType="separate"/>
            </w:r>
            <w:r>
              <w:rPr>
                <w:noProof/>
              </w:rPr>
              <w:t>7</w:t>
            </w:r>
            <w:r>
              <w:rPr>
                <w:noProof/>
              </w:rPr>
              <w:fldChar w:fldCharType="end"/>
            </w:r>
          </w:hyperlink>
        </w:p>
        <w:p w14:paraId="7311AF69" w14:textId="607D6ECD"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67" w:history="1">
            <w:r w:rsidRPr="00340E4A">
              <w:rPr>
                <w:rStyle w:val="Hyperlink"/>
                <w:noProof/>
              </w:rPr>
              <w:t>2.3 Why Every Bank Needs a Solid AI Playbook</w:t>
            </w:r>
            <w:r>
              <w:rPr>
                <w:noProof/>
              </w:rPr>
              <w:tab/>
            </w:r>
            <w:r>
              <w:rPr>
                <w:noProof/>
              </w:rPr>
              <w:fldChar w:fldCharType="begin"/>
            </w:r>
            <w:r>
              <w:rPr>
                <w:noProof/>
              </w:rPr>
              <w:instrText xml:space="preserve"> PAGEREF _Toc241649667 \h </w:instrText>
            </w:r>
            <w:r>
              <w:rPr>
                <w:noProof/>
              </w:rPr>
            </w:r>
            <w:r>
              <w:rPr>
                <w:noProof/>
              </w:rPr>
              <w:fldChar w:fldCharType="separate"/>
            </w:r>
            <w:r>
              <w:rPr>
                <w:noProof/>
              </w:rPr>
              <w:t>8</w:t>
            </w:r>
            <w:r>
              <w:rPr>
                <w:noProof/>
              </w:rPr>
              <w:fldChar w:fldCharType="end"/>
            </w:r>
          </w:hyperlink>
        </w:p>
        <w:p w14:paraId="08833221" w14:textId="63B40F6B"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68" w:history="1">
            <w:r w:rsidRPr="00340E4A">
              <w:rPr>
                <w:rStyle w:val="Hyperlink"/>
                <w:noProof/>
              </w:rPr>
              <w:t>2.4 What Success Looks Like</w:t>
            </w:r>
            <w:r>
              <w:rPr>
                <w:noProof/>
              </w:rPr>
              <w:tab/>
            </w:r>
            <w:r>
              <w:rPr>
                <w:noProof/>
              </w:rPr>
              <w:fldChar w:fldCharType="begin"/>
            </w:r>
            <w:r>
              <w:rPr>
                <w:noProof/>
              </w:rPr>
              <w:instrText xml:space="preserve"> PAGEREF _Toc241649668 \h </w:instrText>
            </w:r>
            <w:r>
              <w:rPr>
                <w:noProof/>
              </w:rPr>
            </w:r>
            <w:r>
              <w:rPr>
                <w:noProof/>
              </w:rPr>
              <w:fldChar w:fldCharType="separate"/>
            </w:r>
            <w:r>
              <w:rPr>
                <w:noProof/>
              </w:rPr>
              <w:t>9</w:t>
            </w:r>
            <w:r>
              <w:rPr>
                <w:noProof/>
              </w:rPr>
              <w:fldChar w:fldCharType="end"/>
            </w:r>
          </w:hyperlink>
        </w:p>
        <w:p w14:paraId="2C26CD84" w14:textId="288DA2CE"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69" w:history="1">
            <w:r w:rsidRPr="00340E4A">
              <w:rPr>
                <w:rStyle w:val="Hyperlink"/>
                <w:noProof/>
              </w:rPr>
              <w:t>3. Master Topic List for the AI Playbook</w:t>
            </w:r>
            <w:r>
              <w:rPr>
                <w:noProof/>
              </w:rPr>
              <w:tab/>
            </w:r>
            <w:r>
              <w:rPr>
                <w:noProof/>
              </w:rPr>
              <w:fldChar w:fldCharType="begin"/>
            </w:r>
            <w:r>
              <w:rPr>
                <w:noProof/>
              </w:rPr>
              <w:instrText xml:space="preserve"> PAGEREF _Toc241649669 \h </w:instrText>
            </w:r>
            <w:r>
              <w:rPr>
                <w:noProof/>
              </w:rPr>
            </w:r>
            <w:r>
              <w:rPr>
                <w:noProof/>
              </w:rPr>
              <w:fldChar w:fldCharType="separate"/>
            </w:r>
            <w:r>
              <w:rPr>
                <w:noProof/>
              </w:rPr>
              <w:t>10</w:t>
            </w:r>
            <w:r>
              <w:rPr>
                <w:noProof/>
              </w:rPr>
              <w:fldChar w:fldCharType="end"/>
            </w:r>
          </w:hyperlink>
        </w:p>
        <w:p w14:paraId="67A71D43" w14:textId="3B945AA0"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0" w:history="1">
            <w:r w:rsidRPr="00340E4A">
              <w:rPr>
                <w:rStyle w:val="Hyperlink"/>
                <w:noProof/>
              </w:rPr>
              <w:t>3.1 Strategy &amp; Business</w:t>
            </w:r>
            <w:r>
              <w:rPr>
                <w:noProof/>
              </w:rPr>
              <w:tab/>
            </w:r>
            <w:r>
              <w:rPr>
                <w:noProof/>
              </w:rPr>
              <w:fldChar w:fldCharType="begin"/>
            </w:r>
            <w:r>
              <w:rPr>
                <w:noProof/>
              </w:rPr>
              <w:instrText xml:space="preserve"> PAGEREF _Toc241649670 \h </w:instrText>
            </w:r>
            <w:r>
              <w:rPr>
                <w:noProof/>
              </w:rPr>
            </w:r>
            <w:r>
              <w:rPr>
                <w:noProof/>
              </w:rPr>
              <w:fldChar w:fldCharType="separate"/>
            </w:r>
            <w:r>
              <w:rPr>
                <w:noProof/>
              </w:rPr>
              <w:t>10</w:t>
            </w:r>
            <w:r>
              <w:rPr>
                <w:noProof/>
              </w:rPr>
              <w:fldChar w:fldCharType="end"/>
            </w:r>
          </w:hyperlink>
        </w:p>
        <w:p w14:paraId="111A8B27" w14:textId="62F96497"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1" w:history="1">
            <w:r w:rsidRPr="00340E4A">
              <w:rPr>
                <w:rStyle w:val="Hyperlink"/>
                <w:noProof/>
              </w:rPr>
              <w:t>3.2 Deployment &amp; Engineering</w:t>
            </w:r>
            <w:r>
              <w:rPr>
                <w:noProof/>
              </w:rPr>
              <w:tab/>
            </w:r>
            <w:r>
              <w:rPr>
                <w:noProof/>
              </w:rPr>
              <w:fldChar w:fldCharType="begin"/>
            </w:r>
            <w:r>
              <w:rPr>
                <w:noProof/>
              </w:rPr>
              <w:instrText xml:space="preserve"> PAGEREF _Toc241649671 \h </w:instrText>
            </w:r>
            <w:r>
              <w:rPr>
                <w:noProof/>
              </w:rPr>
            </w:r>
            <w:r>
              <w:rPr>
                <w:noProof/>
              </w:rPr>
              <w:fldChar w:fldCharType="separate"/>
            </w:r>
            <w:r>
              <w:rPr>
                <w:noProof/>
              </w:rPr>
              <w:t>10</w:t>
            </w:r>
            <w:r>
              <w:rPr>
                <w:noProof/>
              </w:rPr>
              <w:fldChar w:fldCharType="end"/>
            </w:r>
          </w:hyperlink>
        </w:p>
        <w:p w14:paraId="42591BA7" w14:textId="2E933444"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2" w:history="1">
            <w:r w:rsidRPr="00340E4A">
              <w:rPr>
                <w:rStyle w:val="Hyperlink"/>
                <w:noProof/>
              </w:rPr>
              <w:t>3.3 Risk, Security &amp; Governance</w:t>
            </w:r>
            <w:r>
              <w:rPr>
                <w:noProof/>
              </w:rPr>
              <w:tab/>
            </w:r>
            <w:r>
              <w:rPr>
                <w:noProof/>
              </w:rPr>
              <w:fldChar w:fldCharType="begin"/>
            </w:r>
            <w:r>
              <w:rPr>
                <w:noProof/>
              </w:rPr>
              <w:instrText xml:space="preserve"> PAGEREF _Toc241649672 \h </w:instrText>
            </w:r>
            <w:r>
              <w:rPr>
                <w:noProof/>
              </w:rPr>
            </w:r>
            <w:r>
              <w:rPr>
                <w:noProof/>
              </w:rPr>
              <w:fldChar w:fldCharType="separate"/>
            </w:r>
            <w:r>
              <w:rPr>
                <w:noProof/>
              </w:rPr>
              <w:t>10</w:t>
            </w:r>
            <w:r>
              <w:rPr>
                <w:noProof/>
              </w:rPr>
              <w:fldChar w:fldCharType="end"/>
            </w:r>
          </w:hyperlink>
        </w:p>
        <w:p w14:paraId="6F86B041" w14:textId="6534075C"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3" w:history="1">
            <w:r w:rsidRPr="00340E4A">
              <w:rPr>
                <w:rStyle w:val="Hyperlink"/>
                <w:noProof/>
              </w:rPr>
              <w:t>3.4 People &amp; Change</w:t>
            </w:r>
            <w:r>
              <w:rPr>
                <w:noProof/>
              </w:rPr>
              <w:tab/>
            </w:r>
            <w:r>
              <w:rPr>
                <w:noProof/>
              </w:rPr>
              <w:fldChar w:fldCharType="begin"/>
            </w:r>
            <w:r>
              <w:rPr>
                <w:noProof/>
              </w:rPr>
              <w:instrText xml:space="preserve"> PAGEREF _Toc241649673 \h </w:instrText>
            </w:r>
            <w:r>
              <w:rPr>
                <w:noProof/>
              </w:rPr>
            </w:r>
            <w:r>
              <w:rPr>
                <w:noProof/>
              </w:rPr>
              <w:fldChar w:fldCharType="separate"/>
            </w:r>
            <w:r>
              <w:rPr>
                <w:noProof/>
              </w:rPr>
              <w:t>10</w:t>
            </w:r>
            <w:r>
              <w:rPr>
                <w:noProof/>
              </w:rPr>
              <w:fldChar w:fldCharType="end"/>
            </w:r>
          </w:hyperlink>
        </w:p>
        <w:p w14:paraId="1D249E9C" w14:textId="04F6D898"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4" w:history="1">
            <w:r w:rsidRPr="00340E4A">
              <w:rPr>
                <w:rStyle w:val="Hyperlink"/>
                <w:noProof/>
              </w:rPr>
              <w:t>3.5 Ongoing Management</w:t>
            </w:r>
            <w:r>
              <w:rPr>
                <w:noProof/>
              </w:rPr>
              <w:tab/>
            </w:r>
            <w:r>
              <w:rPr>
                <w:noProof/>
              </w:rPr>
              <w:fldChar w:fldCharType="begin"/>
            </w:r>
            <w:r>
              <w:rPr>
                <w:noProof/>
              </w:rPr>
              <w:instrText xml:space="preserve"> PAGEREF _Toc241649674 \h </w:instrText>
            </w:r>
            <w:r>
              <w:rPr>
                <w:noProof/>
              </w:rPr>
            </w:r>
            <w:r>
              <w:rPr>
                <w:noProof/>
              </w:rPr>
              <w:fldChar w:fldCharType="separate"/>
            </w:r>
            <w:r>
              <w:rPr>
                <w:noProof/>
              </w:rPr>
              <w:t>11</w:t>
            </w:r>
            <w:r>
              <w:rPr>
                <w:noProof/>
              </w:rPr>
              <w:fldChar w:fldCharType="end"/>
            </w:r>
          </w:hyperlink>
        </w:p>
        <w:p w14:paraId="20E576DA" w14:textId="081D94F1"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75" w:history="1">
            <w:r w:rsidRPr="00340E4A">
              <w:rPr>
                <w:rStyle w:val="Hyperlink"/>
                <w:noProof/>
              </w:rPr>
              <w:t>4. The Five Banking Departments With the Greatest AI Benefit</w:t>
            </w:r>
            <w:r>
              <w:rPr>
                <w:noProof/>
              </w:rPr>
              <w:tab/>
            </w:r>
            <w:r>
              <w:rPr>
                <w:noProof/>
              </w:rPr>
              <w:fldChar w:fldCharType="begin"/>
            </w:r>
            <w:r>
              <w:rPr>
                <w:noProof/>
              </w:rPr>
              <w:instrText xml:space="preserve"> PAGEREF _Toc241649675 \h </w:instrText>
            </w:r>
            <w:r>
              <w:rPr>
                <w:noProof/>
              </w:rPr>
            </w:r>
            <w:r>
              <w:rPr>
                <w:noProof/>
              </w:rPr>
              <w:fldChar w:fldCharType="separate"/>
            </w:r>
            <w:r>
              <w:rPr>
                <w:noProof/>
              </w:rPr>
              <w:t>12</w:t>
            </w:r>
            <w:r>
              <w:rPr>
                <w:noProof/>
              </w:rPr>
              <w:fldChar w:fldCharType="end"/>
            </w:r>
          </w:hyperlink>
        </w:p>
        <w:p w14:paraId="1E0D5B2B" w14:textId="5B95077E"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76" w:history="1">
            <w:r w:rsidRPr="00340E4A">
              <w:rPr>
                <w:rStyle w:val="Hyperlink"/>
                <w:noProof/>
              </w:rPr>
              <w:t>5. How the Bank Should Approach AI Deployment</w:t>
            </w:r>
            <w:r>
              <w:rPr>
                <w:noProof/>
              </w:rPr>
              <w:tab/>
            </w:r>
            <w:r>
              <w:rPr>
                <w:noProof/>
              </w:rPr>
              <w:fldChar w:fldCharType="begin"/>
            </w:r>
            <w:r>
              <w:rPr>
                <w:noProof/>
              </w:rPr>
              <w:instrText xml:space="preserve"> PAGEREF _Toc241649676 \h </w:instrText>
            </w:r>
            <w:r>
              <w:rPr>
                <w:noProof/>
              </w:rPr>
            </w:r>
            <w:r>
              <w:rPr>
                <w:noProof/>
              </w:rPr>
              <w:fldChar w:fldCharType="separate"/>
            </w:r>
            <w:r>
              <w:rPr>
                <w:noProof/>
              </w:rPr>
              <w:t>14</w:t>
            </w:r>
            <w:r>
              <w:rPr>
                <w:noProof/>
              </w:rPr>
              <w:fldChar w:fldCharType="end"/>
            </w:r>
          </w:hyperlink>
        </w:p>
        <w:p w14:paraId="016F4F86" w14:textId="51D74F80"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7" w:history="1">
            <w:r w:rsidRPr="00340E4A">
              <w:rPr>
                <w:rStyle w:val="Hyperlink"/>
                <w:noProof/>
              </w:rPr>
              <w:t>5.1 Guiding Principles</w:t>
            </w:r>
            <w:r>
              <w:rPr>
                <w:noProof/>
              </w:rPr>
              <w:tab/>
            </w:r>
            <w:r>
              <w:rPr>
                <w:noProof/>
              </w:rPr>
              <w:fldChar w:fldCharType="begin"/>
            </w:r>
            <w:r>
              <w:rPr>
                <w:noProof/>
              </w:rPr>
              <w:instrText xml:space="preserve"> PAGEREF _Toc241649677 \h </w:instrText>
            </w:r>
            <w:r>
              <w:rPr>
                <w:noProof/>
              </w:rPr>
            </w:r>
            <w:r>
              <w:rPr>
                <w:noProof/>
              </w:rPr>
              <w:fldChar w:fldCharType="separate"/>
            </w:r>
            <w:r>
              <w:rPr>
                <w:noProof/>
              </w:rPr>
              <w:t>14</w:t>
            </w:r>
            <w:r>
              <w:rPr>
                <w:noProof/>
              </w:rPr>
              <w:fldChar w:fldCharType="end"/>
            </w:r>
          </w:hyperlink>
        </w:p>
        <w:p w14:paraId="264A856C" w14:textId="6101B69E"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8" w:history="1">
            <w:r w:rsidRPr="00340E4A">
              <w:rPr>
                <w:rStyle w:val="Hyperlink"/>
                <w:noProof/>
              </w:rPr>
              <w:t>5.2 Reference Architecture on Microsoft Azure</w:t>
            </w:r>
            <w:r>
              <w:rPr>
                <w:noProof/>
              </w:rPr>
              <w:tab/>
            </w:r>
            <w:r>
              <w:rPr>
                <w:noProof/>
              </w:rPr>
              <w:fldChar w:fldCharType="begin"/>
            </w:r>
            <w:r>
              <w:rPr>
                <w:noProof/>
              </w:rPr>
              <w:instrText xml:space="preserve"> PAGEREF _Toc241649678 \h </w:instrText>
            </w:r>
            <w:r>
              <w:rPr>
                <w:noProof/>
              </w:rPr>
            </w:r>
            <w:r>
              <w:rPr>
                <w:noProof/>
              </w:rPr>
              <w:fldChar w:fldCharType="separate"/>
            </w:r>
            <w:r>
              <w:rPr>
                <w:noProof/>
              </w:rPr>
              <w:t>14</w:t>
            </w:r>
            <w:r>
              <w:rPr>
                <w:noProof/>
              </w:rPr>
              <w:fldChar w:fldCharType="end"/>
            </w:r>
          </w:hyperlink>
        </w:p>
        <w:p w14:paraId="13ED4D7D" w14:textId="1EE67B1F"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9" w:history="1">
            <w:r w:rsidRPr="00340E4A">
              <w:rPr>
                <w:rStyle w:val="Hyperlink"/>
                <w:noProof/>
              </w:rPr>
              <w:t>5.3 Phased Roadmap</w:t>
            </w:r>
            <w:r>
              <w:rPr>
                <w:noProof/>
              </w:rPr>
              <w:tab/>
            </w:r>
            <w:r>
              <w:rPr>
                <w:noProof/>
              </w:rPr>
              <w:fldChar w:fldCharType="begin"/>
            </w:r>
            <w:r>
              <w:rPr>
                <w:noProof/>
              </w:rPr>
              <w:instrText xml:space="preserve"> PAGEREF _Toc241649679 \h </w:instrText>
            </w:r>
            <w:r>
              <w:rPr>
                <w:noProof/>
              </w:rPr>
            </w:r>
            <w:r>
              <w:rPr>
                <w:noProof/>
              </w:rPr>
              <w:fldChar w:fldCharType="separate"/>
            </w:r>
            <w:r>
              <w:rPr>
                <w:noProof/>
              </w:rPr>
              <w:t>15</w:t>
            </w:r>
            <w:r>
              <w:rPr>
                <w:noProof/>
              </w:rPr>
              <w:fldChar w:fldCharType="end"/>
            </w:r>
          </w:hyperlink>
        </w:p>
        <w:p w14:paraId="11C27DCE" w14:textId="38340254"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0" w:history="1">
            <w:r w:rsidRPr="00340E4A">
              <w:rPr>
                <w:rStyle w:val="Hyperlink"/>
                <w:noProof/>
              </w:rPr>
              <w:t>5.4 Intake and Approval Workflow (Every Use Case)</w:t>
            </w:r>
            <w:r>
              <w:rPr>
                <w:noProof/>
              </w:rPr>
              <w:tab/>
            </w:r>
            <w:r>
              <w:rPr>
                <w:noProof/>
              </w:rPr>
              <w:fldChar w:fldCharType="begin"/>
            </w:r>
            <w:r>
              <w:rPr>
                <w:noProof/>
              </w:rPr>
              <w:instrText xml:space="preserve"> PAGEREF _Toc241649680 \h </w:instrText>
            </w:r>
            <w:r>
              <w:rPr>
                <w:noProof/>
              </w:rPr>
            </w:r>
            <w:r>
              <w:rPr>
                <w:noProof/>
              </w:rPr>
              <w:fldChar w:fldCharType="separate"/>
            </w:r>
            <w:r>
              <w:rPr>
                <w:noProof/>
              </w:rPr>
              <w:t>15</w:t>
            </w:r>
            <w:r>
              <w:rPr>
                <w:noProof/>
              </w:rPr>
              <w:fldChar w:fldCharType="end"/>
            </w:r>
          </w:hyperlink>
        </w:p>
        <w:p w14:paraId="6D610B4E" w14:textId="3C0310DB"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1" w:history="1">
            <w:r w:rsidRPr="00340E4A">
              <w:rPr>
                <w:rStyle w:val="Hyperlink"/>
                <w:noProof/>
              </w:rPr>
              <w:t>5.5 Operating Model</w:t>
            </w:r>
            <w:r>
              <w:rPr>
                <w:noProof/>
              </w:rPr>
              <w:tab/>
            </w:r>
            <w:r>
              <w:rPr>
                <w:noProof/>
              </w:rPr>
              <w:fldChar w:fldCharType="begin"/>
            </w:r>
            <w:r>
              <w:rPr>
                <w:noProof/>
              </w:rPr>
              <w:instrText xml:space="preserve"> PAGEREF _Toc241649681 \h </w:instrText>
            </w:r>
            <w:r>
              <w:rPr>
                <w:noProof/>
              </w:rPr>
            </w:r>
            <w:r>
              <w:rPr>
                <w:noProof/>
              </w:rPr>
              <w:fldChar w:fldCharType="separate"/>
            </w:r>
            <w:r>
              <w:rPr>
                <w:noProof/>
              </w:rPr>
              <w:t>16</w:t>
            </w:r>
            <w:r>
              <w:rPr>
                <w:noProof/>
              </w:rPr>
              <w:fldChar w:fldCharType="end"/>
            </w:r>
          </w:hyperlink>
        </w:p>
        <w:p w14:paraId="3EFBB220" w14:textId="1180DE6C"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2" w:history="1">
            <w:r w:rsidRPr="00340E4A">
              <w:rPr>
                <w:rStyle w:val="Hyperlink"/>
                <w:noProof/>
              </w:rPr>
              <w:t>5.6 Build vs. Buy vs. Partner Decision Framework</w:t>
            </w:r>
            <w:r>
              <w:rPr>
                <w:noProof/>
              </w:rPr>
              <w:tab/>
            </w:r>
            <w:r>
              <w:rPr>
                <w:noProof/>
              </w:rPr>
              <w:fldChar w:fldCharType="begin"/>
            </w:r>
            <w:r>
              <w:rPr>
                <w:noProof/>
              </w:rPr>
              <w:instrText xml:space="preserve"> PAGEREF _Toc241649682 \h </w:instrText>
            </w:r>
            <w:r>
              <w:rPr>
                <w:noProof/>
              </w:rPr>
            </w:r>
            <w:r>
              <w:rPr>
                <w:noProof/>
              </w:rPr>
              <w:fldChar w:fldCharType="separate"/>
            </w:r>
            <w:r>
              <w:rPr>
                <w:noProof/>
              </w:rPr>
              <w:t>17</w:t>
            </w:r>
            <w:r>
              <w:rPr>
                <w:noProof/>
              </w:rPr>
              <w:fldChar w:fldCharType="end"/>
            </w:r>
          </w:hyperlink>
        </w:p>
        <w:p w14:paraId="58ED3E61" w14:textId="43493426"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83" w:history="1">
            <w:r w:rsidRPr="00340E4A">
              <w:rPr>
                <w:rStyle w:val="Hyperlink"/>
                <w:noProof/>
              </w:rPr>
              <w:t>6. Security</w:t>
            </w:r>
            <w:r>
              <w:rPr>
                <w:noProof/>
              </w:rPr>
              <w:tab/>
            </w:r>
            <w:r>
              <w:rPr>
                <w:noProof/>
              </w:rPr>
              <w:fldChar w:fldCharType="begin"/>
            </w:r>
            <w:r>
              <w:rPr>
                <w:noProof/>
              </w:rPr>
              <w:instrText xml:space="preserve"> PAGEREF _Toc241649683 \h </w:instrText>
            </w:r>
            <w:r>
              <w:rPr>
                <w:noProof/>
              </w:rPr>
            </w:r>
            <w:r>
              <w:rPr>
                <w:noProof/>
              </w:rPr>
              <w:fldChar w:fldCharType="separate"/>
            </w:r>
            <w:r>
              <w:rPr>
                <w:noProof/>
              </w:rPr>
              <w:t>19</w:t>
            </w:r>
            <w:r>
              <w:rPr>
                <w:noProof/>
              </w:rPr>
              <w:fldChar w:fldCharType="end"/>
            </w:r>
          </w:hyperlink>
        </w:p>
        <w:p w14:paraId="207EF764" w14:textId="5F394967"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4" w:history="1">
            <w:r w:rsidRPr="00340E4A">
              <w:rPr>
                <w:rStyle w:val="Hyperlink"/>
                <w:noProof/>
              </w:rPr>
              <w:t>6.1 AI-Specific Threats</w:t>
            </w:r>
            <w:r>
              <w:rPr>
                <w:noProof/>
              </w:rPr>
              <w:tab/>
            </w:r>
            <w:r>
              <w:rPr>
                <w:noProof/>
              </w:rPr>
              <w:fldChar w:fldCharType="begin"/>
            </w:r>
            <w:r>
              <w:rPr>
                <w:noProof/>
              </w:rPr>
              <w:instrText xml:space="preserve"> PAGEREF _Toc241649684 \h </w:instrText>
            </w:r>
            <w:r>
              <w:rPr>
                <w:noProof/>
              </w:rPr>
            </w:r>
            <w:r>
              <w:rPr>
                <w:noProof/>
              </w:rPr>
              <w:fldChar w:fldCharType="separate"/>
            </w:r>
            <w:r>
              <w:rPr>
                <w:noProof/>
              </w:rPr>
              <w:t>19</w:t>
            </w:r>
            <w:r>
              <w:rPr>
                <w:noProof/>
              </w:rPr>
              <w:fldChar w:fldCharType="end"/>
            </w:r>
          </w:hyperlink>
        </w:p>
        <w:p w14:paraId="41E57D3D" w14:textId="2F34B314"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5" w:history="1">
            <w:r w:rsidRPr="00340E4A">
              <w:rPr>
                <w:rStyle w:val="Hyperlink"/>
                <w:noProof/>
              </w:rPr>
              <w:t>6.2 Required Controls</w:t>
            </w:r>
            <w:r>
              <w:rPr>
                <w:noProof/>
              </w:rPr>
              <w:tab/>
            </w:r>
            <w:r>
              <w:rPr>
                <w:noProof/>
              </w:rPr>
              <w:fldChar w:fldCharType="begin"/>
            </w:r>
            <w:r>
              <w:rPr>
                <w:noProof/>
              </w:rPr>
              <w:instrText xml:space="preserve"> PAGEREF _Toc241649685 \h </w:instrText>
            </w:r>
            <w:r>
              <w:rPr>
                <w:noProof/>
              </w:rPr>
            </w:r>
            <w:r>
              <w:rPr>
                <w:noProof/>
              </w:rPr>
              <w:fldChar w:fldCharType="separate"/>
            </w:r>
            <w:r>
              <w:rPr>
                <w:noProof/>
              </w:rPr>
              <w:t>19</w:t>
            </w:r>
            <w:r>
              <w:rPr>
                <w:noProof/>
              </w:rPr>
              <w:fldChar w:fldCharType="end"/>
            </w:r>
          </w:hyperlink>
        </w:p>
        <w:p w14:paraId="1C0252B2" w14:textId="4D23596A"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86" w:history="1">
            <w:r w:rsidRPr="00340E4A">
              <w:rPr>
                <w:rStyle w:val="Hyperlink"/>
                <w:noProof/>
              </w:rPr>
              <w:t>7. Governance</w:t>
            </w:r>
            <w:r>
              <w:rPr>
                <w:noProof/>
              </w:rPr>
              <w:tab/>
            </w:r>
            <w:r>
              <w:rPr>
                <w:noProof/>
              </w:rPr>
              <w:fldChar w:fldCharType="begin"/>
            </w:r>
            <w:r>
              <w:rPr>
                <w:noProof/>
              </w:rPr>
              <w:instrText xml:space="preserve"> PAGEREF _Toc241649686 \h </w:instrText>
            </w:r>
            <w:r>
              <w:rPr>
                <w:noProof/>
              </w:rPr>
            </w:r>
            <w:r>
              <w:rPr>
                <w:noProof/>
              </w:rPr>
              <w:fldChar w:fldCharType="separate"/>
            </w:r>
            <w:r>
              <w:rPr>
                <w:noProof/>
              </w:rPr>
              <w:t>20</w:t>
            </w:r>
            <w:r>
              <w:rPr>
                <w:noProof/>
              </w:rPr>
              <w:fldChar w:fldCharType="end"/>
            </w:r>
          </w:hyperlink>
        </w:p>
        <w:p w14:paraId="202B3FB9" w14:textId="4A020854"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7" w:history="1">
            <w:r w:rsidRPr="00340E4A">
              <w:rPr>
                <w:rStyle w:val="Hyperlink"/>
                <w:noProof/>
              </w:rPr>
              <w:t>7.1 AI Governance Framework</w:t>
            </w:r>
            <w:r>
              <w:rPr>
                <w:noProof/>
              </w:rPr>
              <w:tab/>
            </w:r>
            <w:r>
              <w:rPr>
                <w:noProof/>
              </w:rPr>
              <w:fldChar w:fldCharType="begin"/>
            </w:r>
            <w:r>
              <w:rPr>
                <w:noProof/>
              </w:rPr>
              <w:instrText xml:space="preserve"> PAGEREF _Toc241649687 \h </w:instrText>
            </w:r>
            <w:r>
              <w:rPr>
                <w:noProof/>
              </w:rPr>
            </w:r>
            <w:r>
              <w:rPr>
                <w:noProof/>
              </w:rPr>
              <w:fldChar w:fldCharType="separate"/>
            </w:r>
            <w:r>
              <w:rPr>
                <w:noProof/>
              </w:rPr>
              <w:t>20</w:t>
            </w:r>
            <w:r>
              <w:rPr>
                <w:noProof/>
              </w:rPr>
              <w:fldChar w:fldCharType="end"/>
            </w:r>
          </w:hyperlink>
        </w:p>
        <w:p w14:paraId="36385381" w14:textId="501ECE35"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8" w:history="1">
            <w:r w:rsidRPr="00340E4A">
              <w:rPr>
                <w:rStyle w:val="Hyperlink"/>
                <w:noProof/>
              </w:rPr>
              <w:t>7.2 Model Risk Management (MRM)</w:t>
            </w:r>
            <w:r>
              <w:rPr>
                <w:noProof/>
              </w:rPr>
              <w:tab/>
            </w:r>
            <w:r>
              <w:rPr>
                <w:noProof/>
              </w:rPr>
              <w:fldChar w:fldCharType="begin"/>
            </w:r>
            <w:r>
              <w:rPr>
                <w:noProof/>
              </w:rPr>
              <w:instrText xml:space="preserve"> PAGEREF _Toc241649688 \h </w:instrText>
            </w:r>
            <w:r>
              <w:rPr>
                <w:noProof/>
              </w:rPr>
            </w:r>
            <w:r>
              <w:rPr>
                <w:noProof/>
              </w:rPr>
              <w:fldChar w:fldCharType="separate"/>
            </w:r>
            <w:r>
              <w:rPr>
                <w:noProof/>
              </w:rPr>
              <w:t>20</w:t>
            </w:r>
            <w:r>
              <w:rPr>
                <w:noProof/>
              </w:rPr>
              <w:fldChar w:fldCharType="end"/>
            </w:r>
          </w:hyperlink>
        </w:p>
        <w:p w14:paraId="29E857A7" w14:textId="63AEFD3A"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9" w:history="1">
            <w:r w:rsidRPr="00340E4A">
              <w:rPr>
                <w:rStyle w:val="Hyperlink"/>
                <w:noProof/>
              </w:rPr>
              <w:t>7.3 Responsible AI</w:t>
            </w:r>
            <w:r>
              <w:rPr>
                <w:noProof/>
              </w:rPr>
              <w:tab/>
            </w:r>
            <w:r>
              <w:rPr>
                <w:noProof/>
              </w:rPr>
              <w:fldChar w:fldCharType="begin"/>
            </w:r>
            <w:r>
              <w:rPr>
                <w:noProof/>
              </w:rPr>
              <w:instrText xml:space="preserve"> PAGEREF _Toc241649689 \h </w:instrText>
            </w:r>
            <w:r>
              <w:rPr>
                <w:noProof/>
              </w:rPr>
            </w:r>
            <w:r>
              <w:rPr>
                <w:noProof/>
              </w:rPr>
              <w:fldChar w:fldCharType="separate"/>
            </w:r>
            <w:r>
              <w:rPr>
                <w:noProof/>
              </w:rPr>
              <w:t>20</w:t>
            </w:r>
            <w:r>
              <w:rPr>
                <w:noProof/>
              </w:rPr>
              <w:fldChar w:fldCharType="end"/>
            </w:r>
          </w:hyperlink>
        </w:p>
        <w:p w14:paraId="517768B3" w14:textId="623E432B"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0" w:history="1">
            <w:r w:rsidRPr="00340E4A">
              <w:rPr>
                <w:rStyle w:val="Hyperlink"/>
                <w:noProof/>
              </w:rPr>
              <w:t>7.4 AI Governance Council Charter</w:t>
            </w:r>
            <w:r>
              <w:rPr>
                <w:noProof/>
              </w:rPr>
              <w:tab/>
            </w:r>
            <w:r>
              <w:rPr>
                <w:noProof/>
              </w:rPr>
              <w:fldChar w:fldCharType="begin"/>
            </w:r>
            <w:r>
              <w:rPr>
                <w:noProof/>
              </w:rPr>
              <w:instrText xml:space="preserve"> PAGEREF _Toc241649690 \h </w:instrText>
            </w:r>
            <w:r>
              <w:rPr>
                <w:noProof/>
              </w:rPr>
            </w:r>
            <w:r>
              <w:rPr>
                <w:noProof/>
              </w:rPr>
              <w:fldChar w:fldCharType="separate"/>
            </w:r>
            <w:r>
              <w:rPr>
                <w:noProof/>
              </w:rPr>
              <w:t>21</w:t>
            </w:r>
            <w:r>
              <w:rPr>
                <w:noProof/>
              </w:rPr>
              <w:fldChar w:fldCharType="end"/>
            </w:r>
          </w:hyperlink>
        </w:p>
        <w:p w14:paraId="6CF87C5B" w14:textId="69ACEBB9"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691" w:history="1">
            <w:r w:rsidRPr="00340E4A">
              <w:rPr>
                <w:rStyle w:val="Hyperlink"/>
                <w:noProof/>
              </w:rPr>
              <w:t>7.4.1 Mandate</w:t>
            </w:r>
            <w:r>
              <w:rPr>
                <w:noProof/>
              </w:rPr>
              <w:tab/>
            </w:r>
            <w:r>
              <w:rPr>
                <w:noProof/>
              </w:rPr>
              <w:fldChar w:fldCharType="begin"/>
            </w:r>
            <w:r>
              <w:rPr>
                <w:noProof/>
              </w:rPr>
              <w:instrText xml:space="preserve"> PAGEREF _Toc241649691 \h </w:instrText>
            </w:r>
            <w:r>
              <w:rPr>
                <w:noProof/>
              </w:rPr>
            </w:r>
            <w:r>
              <w:rPr>
                <w:noProof/>
              </w:rPr>
              <w:fldChar w:fldCharType="separate"/>
            </w:r>
            <w:r>
              <w:rPr>
                <w:noProof/>
              </w:rPr>
              <w:t>21</w:t>
            </w:r>
            <w:r>
              <w:rPr>
                <w:noProof/>
              </w:rPr>
              <w:fldChar w:fldCharType="end"/>
            </w:r>
          </w:hyperlink>
        </w:p>
        <w:p w14:paraId="13C7AD64" w14:textId="7677014E"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692" w:history="1">
            <w:r w:rsidRPr="00340E4A">
              <w:rPr>
                <w:rStyle w:val="Hyperlink"/>
                <w:noProof/>
              </w:rPr>
              <w:t>7.4.2 Membership and Voting</w:t>
            </w:r>
            <w:r>
              <w:rPr>
                <w:noProof/>
              </w:rPr>
              <w:tab/>
            </w:r>
            <w:r>
              <w:rPr>
                <w:noProof/>
              </w:rPr>
              <w:fldChar w:fldCharType="begin"/>
            </w:r>
            <w:r>
              <w:rPr>
                <w:noProof/>
              </w:rPr>
              <w:instrText xml:space="preserve"> PAGEREF _Toc241649692 \h </w:instrText>
            </w:r>
            <w:r>
              <w:rPr>
                <w:noProof/>
              </w:rPr>
            </w:r>
            <w:r>
              <w:rPr>
                <w:noProof/>
              </w:rPr>
              <w:fldChar w:fldCharType="separate"/>
            </w:r>
            <w:r>
              <w:rPr>
                <w:noProof/>
              </w:rPr>
              <w:t>21</w:t>
            </w:r>
            <w:r>
              <w:rPr>
                <w:noProof/>
              </w:rPr>
              <w:fldChar w:fldCharType="end"/>
            </w:r>
          </w:hyperlink>
        </w:p>
        <w:p w14:paraId="6E539264" w14:textId="37F6A074"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693" w:history="1">
            <w:r w:rsidRPr="00340E4A">
              <w:rPr>
                <w:rStyle w:val="Hyperlink"/>
                <w:noProof/>
              </w:rPr>
              <w:t>7.4.3 Cadence and Escalation</w:t>
            </w:r>
            <w:r>
              <w:rPr>
                <w:noProof/>
              </w:rPr>
              <w:tab/>
            </w:r>
            <w:r>
              <w:rPr>
                <w:noProof/>
              </w:rPr>
              <w:fldChar w:fldCharType="begin"/>
            </w:r>
            <w:r>
              <w:rPr>
                <w:noProof/>
              </w:rPr>
              <w:instrText xml:space="preserve"> PAGEREF _Toc241649693 \h </w:instrText>
            </w:r>
            <w:r>
              <w:rPr>
                <w:noProof/>
              </w:rPr>
            </w:r>
            <w:r>
              <w:rPr>
                <w:noProof/>
              </w:rPr>
              <w:fldChar w:fldCharType="separate"/>
            </w:r>
            <w:r>
              <w:rPr>
                <w:noProof/>
              </w:rPr>
              <w:t>22</w:t>
            </w:r>
            <w:r>
              <w:rPr>
                <w:noProof/>
              </w:rPr>
              <w:fldChar w:fldCharType="end"/>
            </w:r>
          </w:hyperlink>
        </w:p>
        <w:p w14:paraId="172407F5" w14:textId="56EFDB23"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4" w:history="1">
            <w:r w:rsidRPr="00340E4A">
              <w:rPr>
                <w:rStyle w:val="Hyperlink"/>
                <w:noProof/>
              </w:rPr>
              <w:t>7.5 AI / Model Inventory Template</w:t>
            </w:r>
            <w:r>
              <w:rPr>
                <w:noProof/>
              </w:rPr>
              <w:tab/>
            </w:r>
            <w:r>
              <w:rPr>
                <w:noProof/>
              </w:rPr>
              <w:fldChar w:fldCharType="begin"/>
            </w:r>
            <w:r>
              <w:rPr>
                <w:noProof/>
              </w:rPr>
              <w:instrText xml:space="preserve"> PAGEREF _Toc241649694 \h </w:instrText>
            </w:r>
            <w:r>
              <w:rPr>
                <w:noProof/>
              </w:rPr>
            </w:r>
            <w:r>
              <w:rPr>
                <w:noProof/>
              </w:rPr>
              <w:fldChar w:fldCharType="separate"/>
            </w:r>
            <w:r>
              <w:rPr>
                <w:noProof/>
              </w:rPr>
              <w:t>22</w:t>
            </w:r>
            <w:r>
              <w:rPr>
                <w:noProof/>
              </w:rPr>
              <w:fldChar w:fldCharType="end"/>
            </w:r>
          </w:hyperlink>
        </w:p>
        <w:p w14:paraId="5C51FEC5" w14:textId="607CB3C2"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5" w:history="1">
            <w:r w:rsidRPr="00340E4A">
              <w:rPr>
                <w:rStyle w:val="Hyperlink"/>
                <w:noProof/>
              </w:rPr>
              <w:t>7.6 AI Risk-Tiering Rubric</w:t>
            </w:r>
            <w:r>
              <w:rPr>
                <w:noProof/>
              </w:rPr>
              <w:tab/>
            </w:r>
            <w:r>
              <w:rPr>
                <w:noProof/>
              </w:rPr>
              <w:fldChar w:fldCharType="begin"/>
            </w:r>
            <w:r>
              <w:rPr>
                <w:noProof/>
              </w:rPr>
              <w:instrText xml:space="preserve"> PAGEREF _Toc241649695 \h </w:instrText>
            </w:r>
            <w:r>
              <w:rPr>
                <w:noProof/>
              </w:rPr>
            </w:r>
            <w:r>
              <w:rPr>
                <w:noProof/>
              </w:rPr>
              <w:fldChar w:fldCharType="separate"/>
            </w:r>
            <w:r>
              <w:rPr>
                <w:noProof/>
              </w:rPr>
              <w:t>23</w:t>
            </w:r>
            <w:r>
              <w:rPr>
                <w:noProof/>
              </w:rPr>
              <w:fldChar w:fldCharType="end"/>
            </w:r>
          </w:hyperlink>
        </w:p>
        <w:p w14:paraId="50A7B151" w14:textId="1578ED6A"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96" w:history="1">
            <w:r w:rsidRPr="00340E4A">
              <w:rPr>
                <w:rStyle w:val="Hyperlink"/>
                <w:noProof/>
              </w:rPr>
              <w:t>8. User Authentication and Authorization</w:t>
            </w:r>
            <w:r>
              <w:rPr>
                <w:noProof/>
              </w:rPr>
              <w:tab/>
            </w:r>
            <w:r>
              <w:rPr>
                <w:noProof/>
              </w:rPr>
              <w:fldChar w:fldCharType="begin"/>
            </w:r>
            <w:r>
              <w:rPr>
                <w:noProof/>
              </w:rPr>
              <w:instrText xml:space="preserve"> PAGEREF _Toc241649696 \h </w:instrText>
            </w:r>
            <w:r>
              <w:rPr>
                <w:noProof/>
              </w:rPr>
            </w:r>
            <w:r>
              <w:rPr>
                <w:noProof/>
              </w:rPr>
              <w:fldChar w:fldCharType="separate"/>
            </w:r>
            <w:r>
              <w:rPr>
                <w:noProof/>
              </w:rPr>
              <w:t>25</w:t>
            </w:r>
            <w:r>
              <w:rPr>
                <w:noProof/>
              </w:rPr>
              <w:fldChar w:fldCharType="end"/>
            </w:r>
          </w:hyperlink>
        </w:p>
        <w:p w14:paraId="4C4A63E4" w14:textId="29D15D62"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7" w:history="1">
            <w:r w:rsidRPr="00340E4A">
              <w:rPr>
                <w:rStyle w:val="Hyperlink"/>
                <w:noProof/>
              </w:rPr>
              <w:t>8.1 Human Access</w:t>
            </w:r>
            <w:r>
              <w:rPr>
                <w:noProof/>
              </w:rPr>
              <w:tab/>
            </w:r>
            <w:r>
              <w:rPr>
                <w:noProof/>
              </w:rPr>
              <w:fldChar w:fldCharType="begin"/>
            </w:r>
            <w:r>
              <w:rPr>
                <w:noProof/>
              </w:rPr>
              <w:instrText xml:space="preserve"> PAGEREF _Toc241649697 \h </w:instrText>
            </w:r>
            <w:r>
              <w:rPr>
                <w:noProof/>
              </w:rPr>
            </w:r>
            <w:r>
              <w:rPr>
                <w:noProof/>
              </w:rPr>
              <w:fldChar w:fldCharType="separate"/>
            </w:r>
            <w:r>
              <w:rPr>
                <w:noProof/>
              </w:rPr>
              <w:t>25</w:t>
            </w:r>
            <w:r>
              <w:rPr>
                <w:noProof/>
              </w:rPr>
              <w:fldChar w:fldCharType="end"/>
            </w:r>
          </w:hyperlink>
        </w:p>
        <w:p w14:paraId="5CE6F825" w14:textId="51970C38"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8" w:history="1">
            <w:r w:rsidRPr="00340E4A">
              <w:rPr>
                <w:rStyle w:val="Hyperlink"/>
                <w:noProof/>
              </w:rPr>
              <w:t>8.2 Machine and Agent Identity</w:t>
            </w:r>
            <w:r>
              <w:rPr>
                <w:noProof/>
              </w:rPr>
              <w:tab/>
            </w:r>
            <w:r>
              <w:rPr>
                <w:noProof/>
              </w:rPr>
              <w:fldChar w:fldCharType="begin"/>
            </w:r>
            <w:r>
              <w:rPr>
                <w:noProof/>
              </w:rPr>
              <w:instrText xml:space="preserve"> PAGEREF _Toc241649698 \h </w:instrText>
            </w:r>
            <w:r>
              <w:rPr>
                <w:noProof/>
              </w:rPr>
            </w:r>
            <w:r>
              <w:rPr>
                <w:noProof/>
              </w:rPr>
              <w:fldChar w:fldCharType="separate"/>
            </w:r>
            <w:r>
              <w:rPr>
                <w:noProof/>
              </w:rPr>
              <w:t>25</w:t>
            </w:r>
            <w:r>
              <w:rPr>
                <w:noProof/>
              </w:rPr>
              <w:fldChar w:fldCharType="end"/>
            </w:r>
          </w:hyperlink>
        </w:p>
        <w:p w14:paraId="23CA86E0" w14:textId="1F5CFB4B"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9" w:history="1">
            <w:r w:rsidRPr="00340E4A">
              <w:rPr>
                <w:rStyle w:val="Hyperlink"/>
                <w:noProof/>
              </w:rPr>
              <w:t>8.3 Customer-Facing Authentication</w:t>
            </w:r>
            <w:r>
              <w:rPr>
                <w:noProof/>
              </w:rPr>
              <w:tab/>
            </w:r>
            <w:r>
              <w:rPr>
                <w:noProof/>
              </w:rPr>
              <w:fldChar w:fldCharType="begin"/>
            </w:r>
            <w:r>
              <w:rPr>
                <w:noProof/>
              </w:rPr>
              <w:instrText xml:space="preserve"> PAGEREF _Toc241649699 \h </w:instrText>
            </w:r>
            <w:r>
              <w:rPr>
                <w:noProof/>
              </w:rPr>
            </w:r>
            <w:r>
              <w:rPr>
                <w:noProof/>
              </w:rPr>
              <w:fldChar w:fldCharType="separate"/>
            </w:r>
            <w:r>
              <w:rPr>
                <w:noProof/>
              </w:rPr>
              <w:t>25</w:t>
            </w:r>
            <w:r>
              <w:rPr>
                <w:noProof/>
              </w:rPr>
              <w:fldChar w:fldCharType="end"/>
            </w:r>
          </w:hyperlink>
        </w:p>
        <w:p w14:paraId="2BA4F447" w14:textId="0D2392DA"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0" w:history="1">
            <w:r w:rsidRPr="00340E4A">
              <w:rPr>
                <w:rStyle w:val="Hyperlink"/>
                <w:noProof/>
              </w:rPr>
              <w:t>9. Data Privacy and Protection</w:t>
            </w:r>
            <w:r>
              <w:rPr>
                <w:noProof/>
              </w:rPr>
              <w:tab/>
            </w:r>
            <w:r>
              <w:rPr>
                <w:noProof/>
              </w:rPr>
              <w:fldChar w:fldCharType="begin"/>
            </w:r>
            <w:r>
              <w:rPr>
                <w:noProof/>
              </w:rPr>
              <w:instrText xml:space="preserve"> PAGEREF _Toc241649700 \h </w:instrText>
            </w:r>
            <w:r>
              <w:rPr>
                <w:noProof/>
              </w:rPr>
            </w:r>
            <w:r>
              <w:rPr>
                <w:noProof/>
              </w:rPr>
              <w:fldChar w:fldCharType="separate"/>
            </w:r>
            <w:r>
              <w:rPr>
                <w:noProof/>
              </w:rPr>
              <w:t>25</w:t>
            </w:r>
            <w:r>
              <w:rPr>
                <w:noProof/>
              </w:rPr>
              <w:fldChar w:fldCharType="end"/>
            </w:r>
          </w:hyperlink>
        </w:p>
        <w:p w14:paraId="723C0468" w14:textId="3B63DC98"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1" w:history="1">
            <w:r w:rsidRPr="00340E4A">
              <w:rPr>
                <w:rStyle w:val="Hyperlink"/>
                <w:noProof/>
              </w:rPr>
              <w:t>10. Regulatory and Legal Compliance — Canada and United States Regulatory Map</w:t>
            </w:r>
            <w:r>
              <w:rPr>
                <w:noProof/>
              </w:rPr>
              <w:tab/>
            </w:r>
            <w:r>
              <w:rPr>
                <w:noProof/>
              </w:rPr>
              <w:fldChar w:fldCharType="begin"/>
            </w:r>
            <w:r>
              <w:rPr>
                <w:noProof/>
              </w:rPr>
              <w:instrText xml:space="preserve"> PAGEREF _Toc241649701 \h </w:instrText>
            </w:r>
            <w:r>
              <w:rPr>
                <w:noProof/>
              </w:rPr>
            </w:r>
            <w:r>
              <w:rPr>
                <w:noProof/>
              </w:rPr>
              <w:fldChar w:fldCharType="separate"/>
            </w:r>
            <w:r>
              <w:rPr>
                <w:noProof/>
              </w:rPr>
              <w:t>27</w:t>
            </w:r>
            <w:r>
              <w:rPr>
                <w:noProof/>
              </w:rPr>
              <w:fldChar w:fldCharType="end"/>
            </w:r>
          </w:hyperlink>
        </w:p>
        <w:p w14:paraId="038207F7" w14:textId="3C8CCEB9"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2" w:history="1">
            <w:r w:rsidRPr="00340E4A">
              <w:rPr>
                <w:rStyle w:val="Hyperlink"/>
                <w:noProof/>
              </w:rPr>
              <w:t>10.1 Canada</w:t>
            </w:r>
            <w:r>
              <w:rPr>
                <w:noProof/>
              </w:rPr>
              <w:tab/>
            </w:r>
            <w:r>
              <w:rPr>
                <w:noProof/>
              </w:rPr>
              <w:fldChar w:fldCharType="begin"/>
            </w:r>
            <w:r>
              <w:rPr>
                <w:noProof/>
              </w:rPr>
              <w:instrText xml:space="preserve"> PAGEREF _Toc241649702 \h </w:instrText>
            </w:r>
            <w:r>
              <w:rPr>
                <w:noProof/>
              </w:rPr>
            </w:r>
            <w:r>
              <w:rPr>
                <w:noProof/>
              </w:rPr>
              <w:fldChar w:fldCharType="separate"/>
            </w:r>
            <w:r>
              <w:rPr>
                <w:noProof/>
              </w:rPr>
              <w:t>27</w:t>
            </w:r>
            <w:r>
              <w:rPr>
                <w:noProof/>
              </w:rPr>
              <w:fldChar w:fldCharType="end"/>
            </w:r>
          </w:hyperlink>
        </w:p>
        <w:p w14:paraId="2E783DB6" w14:textId="2BBE16FA"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03" w:history="1">
            <w:r w:rsidRPr="00340E4A">
              <w:rPr>
                <w:rStyle w:val="Hyperlink"/>
                <w:noProof/>
              </w:rPr>
              <w:t>10.1.1 Practical Implications for Canada</w:t>
            </w:r>
            <w:r>
              <w:rPr>
                <w:noProof/>
              </w:rPr>
              <w:tab/>
            </w:r>
            <w:r>
              <w:rPr>
                <w:noProof/>
              </w:rPr>
              <w:fldChar w:fldCharType="begin"/>
            </w:r>
            <w:r>
              <w:rPr>
                <w:noProof/>
              </w:rPr>
              <w:instrText xml:space="preserve"> PAGEREF _Toc241649703 \h </w:instrText>
            </w:r>
            <w:r>
              <w:rPr>
                <w:noProof/>
              </w:rPr>
            </w:r>
            <w:r>
              <w:rPr>
                <w:noProof/>
              </w:rPr>
              <w:fldChar w:fldCharType="separate"/>
            </w:r>
            <w:r>
              <w:rPr>
                <w:noProof/>
              </w:rPr>
              <w:t>29</w:t>
            </w:r>
            <w:r>
              <w:rPr>
                <w:noProof/>
              </w:rPr>
              <w:fldChar w:fldCharType="end"/>
            </w:r>
          </w:hyperlink>
        </w:p>
        <w:p w14:paraId="55E444AF" w14:textId="095AEE25"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4" w:history="1">
            <w:r w:rsidRPr="00340E4A">
              <w:rPr>
                <w:rStyle w:val="Hyperlink"/>
                <w:noProof/>
              </w:rPr>
              <w:t>10.2 United States</w:t>
            </w:r>
            <w:r>
              <w:rPr>
                <w:noProof/>
              </w:rPr>
              <w:tab/>
            </w:r>
            <w:r>
              <w:rPr>
                <w:noProof/>
              </w:rPr>
              <w:fldChar w:fldCharType="begin"/>
            </w:r>
            <w:r>
              <w:rPr>
                <w:noProof/>
              </w:rPr>
              <w:instrText xml:space="preserve"> PAGEREF _Toc241649704 \h </w:instrText>
            </w:r>
            <w:r>
              <w:rPr>
                <w:noProof/>
              </w:rPr>
            </w:r>
            <w:r>
              <w:rPr>
                <w:noProof/>
              </w:rPr>
              <w:fldChar w:fldCharType="separate"/>
            </w:r>
            <w:r>
              <w:rPr>
                <w:noProof/>
              </w:rPr>
              <w:t>29</w:t>
            </w:r>
            <w:r>
              <w:rPr>
                <w:noProof/>
              </w:rPr>
              <w:fldChar w:fldCharType="end"/>
            </w:r>
          </w:hyperlink>
        </w:p>
        <w:p w14:paraId="312BD80C" w14:textId="3380FD23"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05" w:history="1">
            <w:r w:rsidRPr="00340E4A">
              <w:rPr>
                <w:rStyle w:val="Hyperlink"/>
                <w:noProof/>
              </w:rPr>
              <w:t>10.2.1 Practical Implications for the United States</w:t>
            </w:r>
            <w:r>
              <w:rPr>
                <w:noProof/>
              </w:rPr>
              <w:tab/>
            </w:r>
            <w:r>
              <w:rPr>
                <w:noProof/>
              </w:rPr>
              <w:fldChar w:fldCharType="begin"/>
            </w:r>
            <w:r>
              <w:rPr>
                <w:noProof/>
              </w:rPr>
              <w:instrText xml:space="preserve"> PAGEREF _Toc241649705 \h </w:instrText>
            </w:r>
            <w:r>
              <w:rPr>
                <w:noProof/>
              </w:rPr>
            </w:r>
            <w:r>
              <w:rPr>
                <w:noProof/>
              </w:rPr>
              <w:fldChar w:fldCharType="separate"/>
            </w:r>
            <w:r>
              <w:rPr>
                <w:noProof/>
              </w:rPr>
              <w:t>31</w:t>
            </w:r>
            <w:r>
              <w:rPr>
                <w:noProof/>
              </w:rPr>
              <w:fldChar w:fldCharType="end"/>
            </w:r>
          </w:hyperlink>
        </w:p>
        <w:p w14:paraId="7A0C2277" w14:textId="0D09F0A3"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6" w:history="1">
            <w:r w:rsidRPr="00340E4A">
              <w:rPr>
                <w:rStyle w:val="Hyperlink"/>
                <w:noProof/>
              </w:rPr>
              <w:t>10.3 Cross-Border Comparison</w:t>
            </w:r>
            <w:r>
              <w:rPr>
                <w:noProof/>
              </w:rPr>
              <w:tab/>
            </w:r>
            <w:r>
              <w:rPr>
                <w:noProof/>
              </w:rPr>
              <w:fldChar w:fldCharType="begin"/>
            </w:r>
            <w:r>
              <w:rPr>
                <w:noProof/>
              </w:rPr>
              <w:instrText xml:space="preserve"> PAGEREF _Toc241649706 \h </w:instrText>
            </w:r>
            <w:r>
              <w:rPr>
                <w:noProof/>
              </w:rPr>
            </w:r>
            <w:r>
              <w:rPr>
                <w:noProof/>
              </w:rPr>
              <w:fldChar w:fldCharType="separate"/>
            </w:r>
            <w:r>
              <w:rPr>
                <w:noProof/>
              </w:rPr>
              <w:t>32</w:t>
            </w:r>
            <w:r>
              <w:rPr>
                <w:noProof/>
              </w:rPr>
              <w:fldChar w:fldCharType="end"/>
            </w:r>
          </w:hyperlink>
        </w:p>
        <w:p w14:paraId="3E9334D4" w14:textId="1BCEFA15"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7" w:history="1">
            <w:r w:rsidRPr="00340E4A">
              <w:rPr>
                <w:rStyle w:val="Hyperlink"/>
                <w:noProof/>
              </w:rPr>
              <w:t>10.4 Other Jurisdictions</w:t>
            </w:r>
            <w:r>
              <w:rPr>
                <w:noProof/>
              </w:rPr>
              <w:tab/>
            </w:r>
            <w:r>
              <w:rPr>
                <w:noProof/>
              </w:rPr>
              <w:fldChar w:fldCharType="begin"/>
            </w:r>
            <w:r>
              <w:rPr>
                <w:noProof/>
              </w:rPr>
              <w:instrText xml:space="preserve"> PAGEREF _Toc241649707 \h </w:instrText>
            </w:r>
            <w:r>
              <w:rPr>
                <w:noProof/>
              </w:rPr>
            </w:r>
            <w:r>
              <w:rPr>
                <w:noProof/>
              </w:rPr>
              <w:fldChar w:fldCharType="separate"/>
            </w:r>
            <w:r>
              <w:rPr>
                <w:noProof/>
              </w:rPr>
              <w:t>32</w:t>
            </w:r>
            <w:r>
              <w:rPr>
                <w:noProof/>
              </w:rPr>
              <w:fldChar w:fldCharType="end"/>
            </w:r>
          </w:hyperlink>
        </w:p>
        <w:p w14:paraId="305E7DC3" w14:textId="74453AAB"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8" w:history="1">
            <w:r w:rsidRPr="00340E4A">
              <w:rPr>
                <w:rStyle w:val="Hyperlink"/>
                <w:noProof/>
              </w:rPr>
              <w:t>10.5 Regulatory Applicability Mapping</w:t>
            </w:r>
            <w:r>
              <w:rPr>
                <w:noProof/>
              </w:rPr>
              <w:tab/>
            </w:r>
            <w:r>
              <w:rPr>
                <w:noProof/>
              </w:rPr>
              <w:fldChar w:fldCharType="begin"/>
            </w:r>
            <w:r>
              <w:rPr>
                <w:noProof/>
              </w:rPr>
              <w:instrText xml:space="preserve"> PAGEREF _Toc241649708 \h </w:instrText>
            </w:r>
            <w:r>
              <w:rPr>
                <w:noProof/>
              </w:rPr>
            </w:r>
            <w:r>
              <w:rPr>
                <w:noProof/>
              </w:rPr>
              <w:fldChar w:fldCharType="separate"/>
            </w:r>
            <w:r>
              <w:rPr>
                <w:noProof/>
              </w:rPr>
              <w:t>33</w:t>
            </w:r>
            <w:r>
              <w:rPr>
                <w:noProof/>
              </w:rPr>
              <w:fldChar w:fldCharType="end"/>
            </w:r>
          </w:hyperlink>
        </w:p>
        <w:p w14:paraId="340B6607" w14:textId="5D170E0A"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9" w:history="1">
            <w:r w:rsidRPr="00340E4A">
              <w:rPr>
                <w:rStyle w:val="Hyperlink"/>
                <w:noProof/>
              </w:rPr>
              <w:t>11. Human Oversight and Escalation</w:t>
            </w:r>
            <w:r>
              <w:rPr>
                <w:noProof/>
              </w:rPr>
              <w:tab/>
            </w:r>
            <w:r>
              <w:rPr>
                <w:noProof/>
              </w:rPr>
              <w:fldChar w:fldCharType="begin"/>
            </w:r>
            <w:r>
              <w:rPr>
                <w:noProof/>
              </w:rPr>
              <w:instrText xml:space="preserve"> PAGEREF _Toc241649709 \h </w:instrText>
            </w:r>
            <w:r>
              <w:rPr>
                <w:noProof/>
              </w:rPr>
            </w:r>
            <w:r>
              <w:rPr>
                <w:noProof/>
              </w:rPr>
              <w:fldChar w:fldCharType="separate"/>
            </w:r>
            <w:r>
              <w:rPr>
                <w:noProof/>
              </w:rPr>
              <w:t>34</w:t>
            </w:r>
            <w:r>
              <w:rPr>
                <w:noProof/>
              </w:rPr>
              <w:fldChar w:fldCharType="end"/>
            </w:r>
          </w:hyperlink>
        </w:p>
        <w:p w14:paraId="3455D942" w14:textId="22064395"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0" w:history="1">
            <w:r w:rsidRPr="00340E4A">
              <w:rPr>
                <w:rStyle w:val="Hyperlink"/>
                <w:noProof/>
              </w:rPr>
              <w:t>12. Incident Response and Business Continuity</w:t>
            </w:r>
            <w:r>
              <w:rPr>
                <w:noProof/>
              </w:rPr>
              <w:tab/>
            </w:r>
            <w:r>
              <w:rPr>
                <w:noProof/>
              </w:rPr>
              <w:fldChar w:fldCharType="begin"/>
            </w:r>
            <w:r>
              <w:rPr>
                <w:noProof/>
              </w:rPr>
              <w:instrText xml:space="preserve"> PAGEREF _Toc241649710 \h </w:instrText>
            </w:r>
            <w:r>
              <w:rPr>
                <w:noProof/>
              </w:rPr>
            </w:r>
            <w:r>
              <w:rPr>
                <w:noProof/>
              </w:rPr>
              <w:fldChar w:fldCharType="separate"/>
            </w:r>
            <w:r>
              <w:rPr>
                <w:noProof/>
              </w:rPr>
              <w:t>34</w:t>
            </w:r>
            <w:r>
              <w:rPr>
                <w:noProof/>
              </w:rPr>
              <w:fldChar w:fldCharType="end"/>
            </w:r>
          </w:hyperlink>
        </w:p>
        <w:p w14:paraId="5C7C9417" w14:textId="0253D7EB"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1" w:history="1">
            <w:r w:rsidRPr="00340E4A">
              <w:rPr>
                <w:rStyle w:val="Hyperlink"/>
                <w:noProof/>
              </w:rPr>
              <w:t>13. Vendor and Third-Party AI Risk Management</w:t>
            </w:r>
            <w:r>
              <w:rPr>
                <w:noProof/>
              </w:rPr>
              <w:tab/>
            </w:r>
            <w:r>
              <w:rPr>
                <w:noProof/>
              </w:rPr>
              <w:fldChar w:fldCharType="begin"/>
            </w:r>
            <w:r>
              <w:rPr>
                <w:noProof/>
              </w:rPr>
              <w:instrText xml:space="preserve"> PAGEREF _Toc241649711 \h </w:instrText>
            </w:r>
            <w:r>
              <w:rPr>
                <w:noProof/>
              </w:rPr>
            </w:r>
            <w:r>
              <w:rPr>
                <w:noProof/>
              </w:rPr>
              <w:fldChar w:fldCharType="separate"/>
            </w:r>
            <w:r>
              <w:rPr>
                <w:noProof/>
              </w:rPr>
              <w:t>34</w:t>
            </w:r>
            <w:r>
              <w:rPr>
                <w:noProof/>
              </w:rPr>
              <w:fldChar w:fldCharType="end"/>
            </w:r>
          </w:hyperlink>
        </w:p>
        <w:p w14:paraId="324A0B66" w14:textId="3978D7AC"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2" w:history="1">
            <w:r w:rsidRPr="00340E4A">
              <w:rPr>
                <w:rStyle w:val="Hyperlink"/>
                <w:noProof/>
              </w:rPr>
              <w:t>14. Data Strategy and Data Governance</w:t>
            </w:r>
            <w:r>
              <w:rPr>
                <w:noProof/>
              </w:rPr>
              <w:tab/>
            </w:r>
            <w:r>
              <w:rPr>
                <w:noProof/>
              </w:rPr>
              <w:fldChar w:fldCharType="begin"/>
            </w:r>
            <w:r>
              <w:rPr>
                <w:noProof/>
              </w:rPr>
              <w:instrText xml:space="preserve"> PAGEREF _Toc241649712 \h </w:instrText>
            </w:r>
            <w:r>
              <w:rPr>
                <w:noProof/>
              </w:rPr>
            </w:r>
            <w:r>
              <w:rPr>
                <w:noProof/>
              </w:rPr>
              <w:fldChar w:fldCharType="separate"/>
            </w:r>
            <w:r>
              <w:rPr>
                <w:noProof/>
              </w:rPr>
              <w:t>35</w:t>
            </w:r>
            <w:r>
              <w:rPr>
                <w:noProof/>
              </w:rPr>
              <w:fldChar w:fldCharType="end"/>
            </w:r>
          </w:hyperlink>
        </w:p>
        <w:p w14:paraId="5DA4281C" w14:textId="73942FC9"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3" w:history="1">
            <w:r w:rsidRPr="00340E4A">
              <w:rPr>
                <w:rStyle w:val="Hyperlink"/>
                <w:noProof/>
              </w:rPr>
              <w:t>15. Talent, Culture, and Change Management</w:t>
            </w:r>
            <w:r>
              <w:rPr>
                <w:noProof/>
              </w:rPr>
              <w:tab/>
            </w:r>
            <w:r>
              <w:rPr>
                <w:noProof/>
              </w:rPr>
              <w:fldChar w:fldCharType="begin"/>
            </w:r>
            <w:r>
              <w:rPr>
                <w:noProof/>
              </w:rPr>
              <w:instrText xml:space="preserve"> PAGEREF _Toc241649713 \h </w:instrText>
            </w:r>
            <w:r>
              <w:rPr>
                <w:noProof/>
              </w:rPr>
            </w:r>
            <w:r>
              <w:rPr>
                <w:noProof/>
              </w:rPr>
              <w:fldChar w:fldCharType="separate"/>
            </w:r>
            <w:r>
              <w:rPr>
                <w:noProof/>
              </w:rPr>
              <w:t>35</w:t>
            </w:r>
            <w:r>
              <w:rPr>
                <w:noProof/>
              </w:rPr>
              <w:fldChar w:fldCharType="end"/>
            </w:r>
          </w:hyperlink>
        </w:p>
        <w:p w14:paraId="7DA3B520" w14:textId="1828FDAA"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4" w:history="1">
            <w:r w:rsidRPr="00340E4A">
              <w:rPr>
                <w:rStyle w:val="Hyperlink"/>
                <w:noProof/>
              </w:rPr>
              <w:t>16. Monitoring, Metrics, and Continuous Improvement</w:t>
            </w:r>
            <w:r>
              <w:rPr>
                <w:noProof/>
              </w:rPr>
              <w:tab/>
            </w:r>
            <w:r>
              <w:rPr>
                <w:noProof/>
              </w:rPr>
              <w:fldChar w:fldCharType="begin"/>
            </w:r>
            <w:r>
              <w:rPr>
                <w:noProof/>
              </w:rPr>
              <w:instrText xml:space="preserve"> PAGEREF _Toc241649714 \h </w:instrText>
            </w:r>
            <w:r>
              <w:rPr>
                <w:noProof/>
              </w:rPr>
            </w:r>
            <w:r>
              <w:rPr>
                <w:noProof/>
              </w:rPr>
              <w:fldChar w:fldCharType="separate"/>
            </w:r>
            <w:r>
              <w:rPr>
                <w:noProof/>
              </w:rPr>
              <w:t>35</w:t>
            </w:r>
            <w:r>
              <w:rPr>
                <w:noProof/>
              </w:rPr>
              <w:fldChar w:fldCharType="end"/>
            </w:r>
          </w:hyperlink>
        </w:p>
        <w:p w14:paraId="0C688F9A" w14:textId="1FD37665"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5" w:history="1">
            <w:r w:rsidRPr="00340E4A">
              <w:rPr>
                <w:rStyle w:val="Hyperlink"/>
                <w:noProof/>
              </w:rPr>
              <w:t>17. Department Deep-Dives</w:t>
            </w:r>
            <w:r>
              <w:rPr>
                <w:noProof/>
              </w:rPr>
              <w:tab/>
            </w:r>
            <w:r>
              <w:rPr>
                <w:noProof/>
              </w:rPr>
              <w:fldChar w:fldCharType="begin"/>
            </w:r>
            <w:r>
              <w:rPr>
                <w:noProof/>
              </w:rPr>
              <w:instrText xml:space="preserve"> PAGEREF _Toc241649715 \h </w:instrText>
            </w:r>
            <w:r>
              <w:rPr>
                <w:noProof/>
              </w:rPr>
            </w:r>
            <w:r>
              <w:rPr>
                <w:noProof/>
              </w:rPr>
              <w:fldChar w:fldCharType="separate"/>
            </w:r>
            <w:r>
              <w:rPr>
                <w:noProof/>
              </w:rPr>
              <w:t>36</w:t>
            </w:r>
            <w:r>
              <w:rPr>
                <w:noProof/>
              </w:rPr>
              <w:fldChar w:fldCharType="end"/>
            </w:r>
          </w:hyperlink>
        </w:p>
        <w:p w14:paraId="2259CDE8" w14:textId="3D69CCA7"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6" w:history="1">
            <w:r w:rsidRPr="00340E4A">
              <w:rPr>
                <w:rStyle w:val="Hyperlink"/>
                <w:noProof/>
              </w:rPr>
              <w:t>17.1 Deep Dive: Fraud, Financial Crime &amp; AML</w:t>
            </w:r>
            <w:r>
              <w:rPr>
                <w:noProof/>
              </w:rPr>
              <w:tab/>
            </w:r>
            <w:r>
              <w:rPr>
                <w:noProof/>
              </w:rPr>
              <w:fldChar w:fldCharType="begin"/>
            </w:r>
            <w:r>
              <w:rPr>
                <w:noProof/>
              </w:rPr>
              <w:instrText xml:space="preserve"> PAGEREF _Toc241649716 \h </w:instrText>
            </w:r>
            <w:r>
              <w:rPr>
                <w:noProof/>
              </w:rPr>
            </w:r>
            <w:r>
              <w:rPr>
                <w:noProof/>
              </w:rPr>
              <w:fldChar w:fldCharType="separate"/>
            </w:r>
            <w:r>
              <w:rPr>
                <w:noProof/>
              </w:rPr>
              <w:t>36</w:t>
            </w:r>
            <w:r>
              <w:rPr>
                <w:noProof/>
              </w:rPr>
              <w:fldChar w:fldCharType="end"/>
            </w:r>
          </w:hyperlink>
        </w:p>
        <w:p w14:paraId="6A3CF147" w14:textId="1E00E236"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17" w:history="1">
            <w:r w:rsidRPr="00340E4A">
              <w:rPr>
                <w:rStyle w:val="Hyperlink"/>
                <w:noProof/>
              </w:rPr>
              <w:t>17.1.1 The Problem</w:t>
            </w:r>
            <w:r>
              <w:rPr>
                <w:noProof/>
              </w:rPr>
              <w:tab/>
            </w:r>
            <w:r>
              <w:rPr>
                <w:noProof/>
              </w:rPr>
              <w:fldChar w:fldCharType="begin"/>
            </w:r>
            <w:r>
              <w:rPr>
                <w:noProof/>
              </w:rPr>
              <w:instrText xml:space="preserve"> PAGEREF _Toc241649717 \h </w:instrText>
            </w:r>
            <w:r>
              <w:rPr>
                <w:noProof/>
              </w:rPr>
            </w:r>
            <w:r>
              <w:rPr>
                <w:noProof/>
              </w:rPr>
              <w:fldChar w:fldCharType="separate"/>
            </w:r>
            <w:r>
              <w:rPr>
                <w:noProof/>
              </w:rPr>
              <w:t>36</w:t>
            </w:r>
            <w:r>
              <w:rPr>
                <w:noProof/>
              </w:rPr>
              <w:fldChar w:fldCharType="end"/>
            </w:r>
          </w:hyperlink>
        </w:p>
        <w:p w14:paraId="3F01333E" w14:textId="5F732B8A"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18" w:history="1">
            <w:r w:rsidRPr="00340E4A">
              <w:rPr>
                <w:rStyle w:val="Hyperlink"/>
                <w:noProof/>
              </w:rPr>
              <w:t>17.1.2 How Microsoft Azure and Azure AI Can Help</w:t>
            </w:r>
            <w:r>
              <w:rPr>
                <w:noProof/>
              </w:rPr>
              <w:tab/>
            </w:r>
            <w:r>
              <w:rPr>
                <w:noProof/>
              </w:rPr>
              <w:fldChar w:fldCharType="begin"/>
            </w:r>
            <w:r>
              <w:rPr>
                <w:noProof/>
              </w:rPr>
              <w:instrText xml:space="preserve"> PAGEREF _Toc241649718 \h </w:instrText>
            </w:r>
            <w:r>
              <w:rPr>
                <w:noProof/>
              </w:rPr>
            </w:r>
            <w:r>
              <w:rPr>
                <w:noProof/>
              </w:rPr>
              <w:fldChar w:fldCharType="separate"/>
            </w:r>
            <w:r>
              <w:rPr>
                <w:noProof/>
              </w:rPr>
              <w:t>36</w:t>
            </w:r>
            <w:r>
              <w:rPr>
                <w:noProof/>
              </w:rPr>
              <w:fldChar w:fldCharType="end"/>
            </w:r>
          </w:hyperlink>
        </w:p>
        <w:p w14:paraId="2C17B46E" w14:textId="7EFA6017"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19" w:history="1">
            <w:r w:rsidRPr="00340E4A">
              <w:rPr>
                <w:rStyle w:val="Hyperlink"/>
                <w:noProof/>
              </w:rPr>
              <w:t>17.1.3 Specific Azure and Microsoft Products</w:t>
            </w:r>
            <w:r>
              <w:rPr>
                <w:noProof/>
              </w:rPr>
              <w:tab/>
            </w:r>
            <w:r>
              <w:rPr>
                <w:noProof/>
              </w:rPr>
              <w:fldChar w:fldCharType="begin"/>
            </w:r>
            <w:r>
              <w:rPr>
                <w:noProof/>
              </w:rPr>
              <w:instrText xml:space="preserve"> PAGEREF _Toc241649719 \h </w:instrText>
            </w:r>
            <w:r>
              <w:rPr>
                <w:noProof/>
              </w:rPr>
            </w:r>
            <w:r>
              <w:rPr>
                <w:noProof/>
              </w:rPr>
              <w:fldChar w:fldCharType="separate"/>
            </w:r>
            <w:r>
              <w:rPr>
                <w:noProof/>
              </w:rPr>
              <w:t>37</w:t>
            </w:r>
            <w:r>
              <w:rPr>
                <w:noProof/>
              </w:rPr>
              <w:fldChar w:fldCharType="end"/>
            </w:r>
          </w:hyperlink>
        </w:p>
        <w:p w14:paraId="2471B0D0" w14:textId="0A945FAF"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0" w:history="1">
            <w:r w:rsidRPr="00340E4A">
              <w:rPr>
                <w:rStyle w:val="Hyperlink"/>
                <w:noProof/>
              </w:rPr>
              <w:t>17.1.4 Illustrative Solution Pattern</w:t>
            </w:r>
            <w:r>
              <w:rPr>
                <w:noProof/>
              </w:rPr>
              <w:tab/>
            </w:r>
            <w:r>
              <w:rPr>
                <w:noProof/>
              </w:rPr>
              <w:fldChar w:fldCharType="begin"/>
            </w:r>
            <w:r>
              <w:rPr>
                <w:noProof/>
              </w:rPr>
              <w:instrText xml:space="preserve"> PAGEREF _Toc241649720 \h </w:instrText>
            </w:r>
            <w:r>
              <w:rPr>
                <w:noProof/>
              </w:rPr>
            </w:r>
            <w:r>
              <w:rPr>
                <w:noProof/>
              </w:rPr>
              <w:fldChar w:fldCharType="separate"/>
            </w:r>
            <w:r>
              <w:rPr>
                <w:noProof/>
              </w:rPr>
              <w:t>38</w:t>
            </w:r>
            <w:r>
              <w:rPr>
                <w:noProof/>
              </w:rPr>
              <w:fldChar w:fldCharType="end"/>
            </w:r>
          </w:hyperlink>
        </w:p>
        <w:p w14:paraId="3898CEAA" w14:textId="7B7DB7CF"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1" w:history="1">
            <w:r w:rsidRPr="00340E4A">
              <w:rPr>
                <w:rStyle w:val="Hyperlink"/>
                <w:noProof/>
              </w:rPr>
              <w:t>17.1.5 Business Benefits</w:t>
            </w:r>
            <w:r>
              <w:rPr>
                <w:noProof/>
              </w:rPr>
              <w:tab/>
            </w:r>
            <w:r>
              <w:rPr>
                <w:noProof/>
              </w:rPr>
              <w:fldChar w:fldCharType="begin"/>
            </w:r>
            <w:r>
              <w:rPr>
                <w:noProof/>
              </w:rPr>
              <w:instrText xml:space="preserve"> PAGEREF _Toc241649721 \h </w:instrText>
            </w:r>
            <w:r>
              <w:rPr>
                <w:noProof/>
              </w:rPr>
            </w:r>
            <w:r>
              <w:rPr>
                <w:noProof/>
              </w:rPr>
              <w:fldChar w:fldCharType="separate"/>
            </w:r>
            <w:r>
              <w:rPr>
                <w:noProof/>
              </w:rPr>
              <w:t>39</w:t>
            </w:r>
            <w:r>
              <w:rPr>
                <w:noProof/>
              </w:rPr>
              <w:fldChar w:fldCharType="end"/>
            </w:r>
          </w:hyperlink>
        </w:p>
        <w:p w14:paraId="593D24F3" w14:textId="5317B09C"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2" w:history="1">
            <w:r w:rsidRPr="00340E4A">
              <w:rPr>
                <w:rStyle w:val="Hyperlink"/>
                <w:noProof/>
              </w:rPr>
              <w:t>17.1.6 Data and Integration Requirements</w:t>
            </w:r>
            <w:r>
              <w:rPr>
                <w:noProof/>
              </w:rPr>
              <w:tab/>
            </w:r>
            <w:r>
              <w:rPr>
                <w:noProof/>
              </w:rPr>
              <w:fldChar w:fldCharType="begin"/>
            </w:r>
            <w:r>
              <w:rPr>
                <w:noProof/>
              </w:rPr>
              <w:instrText xml:space="preserve"> PAGEREF _Toc241649722 \h </w:instrText>
            </w:r>
            <w:r>
              <w:rPr>
                <w:noProof/>
              </w:rPr>
            </w:r>
            <w:r>
              <w:rPr>
                <w:noProof/>
              </w:rPr>
              <w:fldChar w:fldCharType="separate"/>
            </w:r>
            <w:r>
              <w:rPr>
                <w:noProof/>
              </w:rPr>
              <w:t>40</w:t>
            </w:r>
            <w:r>
              <w:rPr>
                <w:noProof/>
              </w:rPr>
              <w:fldChar w:fldCharType="end"/>
            </w:r>
          </w:hyperlink>
        </w:p>
        <w:p w14:paraId="19BF6C46" w14:textId="64D8B974"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3" w:history="1">
            <w:r w:rsidRPr="00340E4A">
              <w:rPr>
                <w:rStyle w:val="Hyperlink"/>
                <w:noProof/>
              </w:rPr>
              <w:t>17.1.7 Risk, Governance and Human Oversight Considerations</w:t>
            </w:r>
            <w:r>
              <w:rPr>
                <w:noProof/>
              </w:rPr>
              <w:tab/>
            </w:r>
            <w:r>
              <w:rPr>
                <w:noProof/>
              </w:rPr>
              <w:fldChar w:fldCharType="begin"/>
            </w:r>
            <w:r>
              <w:rPr>
                <w:noProof/>
              </w:rPr>
              <w:instrText xml:space="preserve"> PAGEREF _Toc241649723 \h </w:instrText>
            </w:r>
            <w:r>
              <w:rPr>
                <w:noProof/>
              </w:rPr>
            </w:r>
            <w:r>
              <w:rPr>
                <w:noProof/>
              </w:rPr>
              <w:fldChar w:fldCharType="separate"/>
            </w:r>
            <w:r>
              <w:rPr>
                <w:noProof/>
              </w:rPr>
              <w:t>40</w:t>
            </w:r>
            <w:r>
              <w:rPr>
                <w:noProof/>
              </w:rPr>
              <w:fldChar w:fldCharType="end"/>
            </w:r>
          </w:hyperlink>
        </w:p>
        <w:p w14:paraId="5FA985C8" w14:textId="2CCFC3C1"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4" w:history="1">
            <w:r w:rsidRPr="00340E4A">
              <w:rPr>
                <w:rStyle w:val="Hyperlink"/>
                <w:noProof/>
              </w:rPr>
              <w:t>17.1.8 Success Metrics (KPIs)</w:t>
            </w:r>
            <w:r>
              <w:rPr>
                <w:noProof/>
              </w:rPr>
              <w:tab/>
            </w:r>
            <w:r>
              <w:rPr>
                <w:noProof/>
              </w:rPr>
              <w:fldChar w:fldCharType="begin"/>
            </w:r>
            <w:r>
              <w:rPr>
                <w:noProof/>
              </w:rPr>
              <w:instrText xml:space="preserve"> PAGEREF _Toc241649724 \h </w:instrText>
            </w:r>
            <w:r>
              <w:rPr>
                <w:noProof/>
              </w:rPr>
            </w:r>
            <w:r>
              <w:rPr>
                <w:noProof/>
              </w:rPr>
              <w:fldChar w:fldCharType="separate"/>
            </w:r>
            <w:r>
              <w:rPr>
                <w:noProof/>
              </w:rPr>
              <w:t>40</w:t>
            </w:r>
            <w:r>
              <w:rPr>
                <w:noProof/>
              </w:rPr>
              <w:fldChar w:fldCharType="end"/>
            </w:r>
          </w:hyperlink>
        </w:p>
        <w:p w14:paraId="057E2705" w14:textId="3B1AB52B"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5" w:history="1">
            <w:r w:rsidRPr="00340E4A">
              <w:rPr>
                <w:rStyle w:val="Hyperlink"/>
                <w:noProof/>
              </w:rPr>
              <w:t>17.1.9 Sample Business Case Outline</w:t>
            </w:r>
            <w:r>
              <w:rPr>
                <w:noProof/>
              </w:rPr>
              <w:tab/>
            </w:r>
            <w:r>
              <w:rPr>
                <w:noProof/>
              </w:rPr>
              <w:fldChar w:fldCharType="begin"/>
            </w:r>
            <w:r>
              <w:rPr>
                <w:noProof/>
              </w:rPr>
              <w:instrText xml:space="preserve"> PAGEREF _Toc241649725 \h </w:instrText>
            </w:r>
            <w:r>
              <w:rPr>
                <w:noProof/>
              </w:rPr>
            </w:r>
            <w:r>
              <w:rPr>
                <w:noProof/>
              </w:rPr>
              <w:fldChar w:fldCharType="separate"/>
            </w:r>
            <w:r>
              <w:rPr>
                <w:noProof/>
              </w:rPr>
              <w:t>40</w:t>
            </w:r>
            <w:r>
              <w:rPr>
                <w:noProof/>
              </w:rPr>
              <w:fldChar w:fldCharType="end"/>
            </w:r>
          </w:hyperlink>
        </w:p>
        <w:p w14:paraId="53ABAABB" w14:textId="7707519E"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6" w:history="1">
            <w:r w:rsidRPr="00340E4A">
              <w:rPr>
                <w:rStyle w:val="Hyperlink"/>
                <w:noProof/>
              </w:rPr>
              <w:t>17.2 Deep Dive: Customer Service &amp; Engagement</w:t>
            </w:r>
            <w:r>
              <w:rPr>
                <w:noProof/>
              </w:rPr>
              <w:tab/>
            </w:r>
            <w:r>
              <w:rPr>
                <w:noProof/>
              </w:rPr>
              <w:fldChar w:fldCharType="begin"/>
            </w:r>
            <w:r>
              <w:rPr>
                <w:noProof/>
              </w:rPr>
              <w:instrText xml:space="preserve"> PAGEREF _Toc241649726 \h </w:instrText>
            </w:r>
            <w:r>
              <w:rPr>
                <w:noProof/>
              </w:rPr>
            </w:r>
            <w:r>
              <w:rPr>
                <w:noProof/>
              </w:rPr>
              <w:fldChar w:fldCharType="separate"/>
            </w:r>
            <w:r>
              <w:rPr>
                <w:noProof/>
              </w:rPr>
              <w:t>41</w:t>
            </w:r>
            <w:r>
              <w:rPr>
                <w:noProof/>
              </w:rPr>
              <w:fldChar w:fldCharType="end"/>
            </w:r>
          </w:hyperlink>
        </w:p>
        <w:p w14:paraId="7BC19F72" w14:textId="30CD9901"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7" w:history="1">
            <w:r w:rsidRPr="00340E4A">
              <w:rPr>
                <w:rStyle w:val="Hyperlink"/>
                <w:noProof/>
              </w:rPr>
              <w:t>17.2.1 The Problem</w:t>
            </w:r>
            <w:r>
              <w:rPr>
                <w:noProof/>
              </w:rPr>
              <w:tab/>
            </w:r>
            <w:r>
              <w:rPr>
                <w:noProof/>
              </w:rPr>
              <w:fldChar w:fldCharType="begin"/>
            </w:r>
            <w:r>
              <w:rPr>
                <w:noProof/>
              </w:rPr>
              <w:instrText xml:space="preserve"> PAGEREF _Toc241649727 \h </w:instrText>
            </w:r>
            <w:r>
              <w:rPr>
                <w:noProof/>
              </w:rPr>
            </w:r>
            <w:r>
              <w:rPr>
                <w:noProof/>
              </w:rPr>
              <w:fldChar w:fldCharType="separate"/>
            </w:r>
            <w:r>
              <w:rPr>
                <w:noProof/>
              </w:rPr>
              <w:t>41</w:t>
            </w:r>
            <w:r>
              <w:rPr>
                <w:noProof/>
              </w:rPr>
              <w:fldChar w:fldCharType="end"/>
            </w:r>
          </w:hyperlink>
        </w:p>
        <w:p w14:paraId="4E0EDE9C" w14:textId="1EF64027"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8" w:history="1">
            <w:r w:rsidRPr="00340E4A">
              <w:rPr>
                <w:rStyle w:val="Hyperlink"/>
                <w:noProof/>
              </w:rPr>
              <w:t>17.2.2 How Microsoft Azure and Azure AI Can Help</w:t>
            </w:r>
            <w:r>
              <w:rPr>
                <w:noProof/>
              </w:rPr>
              <w:tab/>
            </w:r>
            <w:r>
              <w:rPr>
                <w:noProof/>
              </w:rPr>
              <w:fldChar w:fldCharType="begin"/>
            </w:r>
            <w:r>
              <w:rPr>
                <w:noProof/>
              </w:rPr>
              <w:instrText xml:space="preserve"> PAGEREF _Toc241649728 \h </w:instrText>
            </w:r>
            <w:r>
              <w:rPr>
                <w:noProof/>
              </w:rPr>
            </w:r>
            <w:r>
              <w:rPr>
                <w:noProof/>
              </w:rPr>
              <w:fldChar w:fldCharType="separate"/>
            </w:r>
            <w:r>
              <w:rPr>
                <w:noProof/>
              </w:rPr>
              <w:t>41</w:t>
            </w:r>
            <w:r>
              <w:rPr>
                <w:noProof/>
              </w:rPr>
              <w:fldChar w:fldCharType="end"/>
            </w:r>
          </w:hyperlink>
        </w:p>
        <w:p w14:paraId="2B7EECCD" w14:textId="0EE58190"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29" w:history="1">
            <w:r w:rsidRPr="00340E4A">
              <w:rPr>
                <w:rStyle w:val="Hyperlink"/>
                <w:noProof/>
              </w:rPr>
              <w:t>17.2.3 Specific Azure and Microsoft Products</w:t>
            </w:r>
            <w:r>
              <w:rPr>
                <w:noProof/>
              </w:rPr>
              <w:tab/>
            </w:r>
            <w:r>
              <w:rPr>
                <w:noProof/>
              </w:rPr>
              <w:fldChar w:fldCharType="begin"/>
            </w:r>
            <w:r>
              <w:rPr>
                <w:noProof/>
              </w:rPr>
              <w:instrText xml:space="preserve"> PAGEREF _Toc241649729 \h </w:instrText>
            </w:r>
            <w:r>
              <w:rPr>
                <w:noProof/>
              </w:rPr>
            </w:r>
            <w:r>
              <w:rPr>
                <w:noProof/>
              </w:rPr>
              <w:fldChar w:fldCharType="separate"/>
            </w:r>
            <w:r>
              <w:rPr>
                <w:noProof/>
              </w:rPr>
              <w:t>42</w:t>
            </w:r>
            <w:r>
              <w:rPr>
                <w:noProof/>
              </w:rPr>
              <w:fldChar w:fldCharType="end"/>
            </w:r>
          </w:hyperlink>
        </w:p>
        <w:p w14:paraId="3F4F3E0D" w14:textId="714A0C04"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0" w:history="1">
            <w:r w:rsidRPr="00340E4A">
              <w:rPr>
                <w:rStyle w:val="Hyperlink"/>
                <w:noProof/>
              </w:rPr>
              <w:t>17.2.4 Illustrative Solution Pattern</w:t>
            </w:r>
            <w:r>
              <w:rPr>
                <w:noProof/>
              </w:rPr>
              <w:tab/>
            </w:r>
            <w:r>
              <w:rPr>
                <w:noProof/>
              </w:rPr>
              <w:fldChar w:fldCharType="begin"/>
            </w:r>
            <w:r>
              <w:rPr>
                <w:noProof/>
              </w:rPr>
              <w:instrText xml:space="preserve"> PAGEREF _Toc241649730 \h </w:instrText>
            </w:r>
            <w:r>
              <w:rPr>
                <w:noProof/>
              </w:rPr>
            </w:r>
            <w:r>
              <w:rPr>
                <w:noProof/>
              </w:rPr>
              <w:fldChar w:fldCharType="separate"/>
            </w:r>
            <w:r>
              <w:rPr>
                <w:noProof/>
              </w:rPr>
              <w:t>43</w:t>
            </w:r>
            <w:r>
              <w:rPr>
                <w:noProof/>
              </w:rPr>
              <w:fldChar w:fldCharType="end"/>
            </w:r>
          </w:hyperlink>
        </w:p>
        <w:p w14:paraId="5E0C60CC" w14:textId="013CF44A"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1" w:history="1">
            <w:r w:rsidRPr="00340E4A">
              <w:rPr>
                <w:rStyle w:val="Hyperlink"/>
                <w:noProof/>
              </w:rPr>
              <w:t>17.2.5 Business Benefits</w:t>
            </w:r>
            <w:r>
              <w:rPr>
                <w:noProof/>
              </w:rPr>
              <w:tab/>
            </w:r>
            <w:r>
              <w:rPr>
                <w:noProof/>
              </w:rPr>
              <w:fldChar w:fldCharType="begin"/>
            </w:r>
            <w:r>
              <w:rPr>
                <w:noProof/>
              </w:rPr>
              <w:instrText xml:space="preserve"> PAGEREF _Toc241649731 \h </w:instrText>
            </w:r>
            <w:r>
              <w:rPr>
                <w:noProof/>
              </w:rPr>
            </w:r>
            <w:r>
              <w:rPr>
                <w:noProof/>
              </w:rPr>
              <w:fldChar w:fldCharType="separate"/>
            </w:r>
            <w:r>
              <w:rPr>
                <w:noProof/>
              </w:rPr>
              <w:t>43</w:t>
            </w:r>
            <w:r>
              <w:rPr>
                <w:noProof/>
              </w:rPr>
              <w:fldChar w:fldCharType="end"/>
            </w:r>
          </w:hyperlink>
        </w:p>
        <w:p w14:paraId="1BEA576A" w14:textId="7E7B7F72"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2" w:history="1">
            <w:r w:rsidRPr="00340E4A">
              <w:rPr>
                <w:rStyle w:val="Hyperlink"/>
                <w:noProof/>
              </w:rPr>
              <w:t>17.2.6 Data and Integration Requirements</w:t>
            </w:r>
            <w:r>
              <w:rPr>
                <w:noProof/>
              </w:rPr>
              <w:tab/>
            </w:r>
            <w:r>
              <w:rPr>
                <w:noProof/>
              </w:rPr>
              <w:fldChar w:fldCharType="begin"/>
            </w:r>
            <w:r>
              <w:rPr>
                <w:noProof/>
              </w:rPr>
              <w:instrText xml:space="preserve"> PAGEREF _Toc241649732 \h </w:instrText>
            </w:r>
            <w:r>
              <w:rPr>
                <w:noProof/>
              </w:rPr>
            </w:r>
            <w:r>
              <w:rPr>
                <w:noProof/>
              </w:rPr>
              <w:fldChar w:fldCharType="separate"/>
            </w:r>
            <w:r>
              <w:rPr>
                <w:noProof/>
              </w:rPr>
              <w:t>44</w:t>
            </w:r>
            <w:r>
              <w:rPr>
                <w:noProof/>
              </w:rPr>
              <w:fldChar w:fldCharType="end"/>
            </w:r>
          </w:hyperlink>
        </w:p>
        <w:p w14:paraId="0828472B" w14:textId="2A21B914"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3" w:history="1">
            <w:r w:rsidRPr="00340E4A">
              <w:rPr>
                <w:rStyle w:val="Hyperlink"/>
                <w:noProof/>
              </w:rPr>
              <w:t>17.2.7 Risk, Governance and Human Oversight Considerations</w:t>
            </w:r>
            <w:r>
              <w:rPr>
                <w:noProof/>
              </w:rPr>
              <w:tab/>
            </w:r>
            <w:r>
              <w:rPr>
                <w:noProof/>
              </w:rPr>
              <w:fldChar w:fldCharType="begin"/>
            </w:r>
            <w:r>
              <w:rPr>
                <w:noProof/>
              </w:rPr>
              <w:instrText xml:space="preserve"> PAGEREF _Toc241649733 \h </w:instrText>
            </w:r>
            <w:r>
              <w:rPr>
                <w:noProof/>
              </w:rPr>
            </w:r>
            <w:r>
              <w:rPr>
                <w:noProof/>
              </w:rPr>
              <w:fldChar w:fldCharType="separate"/>
            </w:r>
            <w:r>
              <w:rPr>
                <w:noProof/>
              </w:rPr>
              <w:t>44</w:t>
            </w:r>
            <w:r>
              <w:rPr>
                <w:noProof/>
              </w:rPr>
              <w:fldChar w:fldCharType="end"/>
            </w:r>
          </w:hyperlink>
        </w:p>
        <w:p w14:paraId="0C3EDEF1" w14:textId="47C7F9A2"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4" w:history="1">
            <w:r w:rsidRPr="00340E4A">
              <w:rPr>
                <w:rStyle w:val="Hyperlink"/>
                <w:noProof/>
              </w:rPr>
              <w:t>17.2.8 Success Metrics (KPIs)</w:t>
            </w:r>
            <w:r>
              <w:rPr>
                <w:noProof/>
              </w:rPr>
              <w:tab/>
            </w:r>
            <w:r>
              <w:rPr>
                <w:noProof/>
              </w:rPr>
              <w:fldChar w:fldCharType="begin"/>
            </w:r>
            <w:r>
              <w:rPr>
                <w:noProof/>
              </w:rPr>
              <w:instrText xml:space="preserve"> PAGEREF _Toc241649734 \h </w:instrText>
            </w:r>
            <w:r>
              <w:rPr>
                <w:noProof/>
              </w:rPr>
            </w:r>
            <w:r>
              <w:rPr>
                <w:noProof/>
              </w:rPr>
              <w:fldChar w:fldCharType="separate"/>
            </w:r>
            <w:r>
              <w:rPr>
                <w:noProof/>
              </w:rPr>
              <w:t>44</w:t>
            </w:r>
            <w:r>
              <w:rPr>
                <w:noProof/>
              </w:rPr>
              <w:fldChar w:fldCharType="end"/>
            </w:r>
          </w:hyperlink>
        </w:p>
        <w:p w14:paraId="62FB7E5E" w14:textId="3E640E2F"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5" w:history="1">
            <w:r w:rsidRPr="00340E4A">
              <w:rPr>
                <w:rStyle w:val="Hyperlink"/>
                <w:noProof/>
              </w:rPr>
              <w:t>17.2.9 Sample Business Case Outline</w:t>
            </w:r>
            <w:r>
              <w:rPr>
                <w:noProof/>
              </w:rPr>
              <w:tab/>
            </w:r>
            <w:r>
              <w:rPr>
                <w:noProof/>
              </w:rPr>
              <w:fldChar w:fldCharType="begin"/>
            </w:r>
            <w:r>
              <w:rPr>
                <w:noProof/>
              </w:rPr>
              <w:instrText xml:space="preserve"> PAGEREF _Toc241649735 \h </w:instrText>
            </w:r>
            <w:r>
              <w:rPr>
                <w:noProof/>
              </w:rPr>
            </w:r>
            <w:r>
              <w:rPr>
                <w:noProof/>
              </w:rPr>
              <w:fldChar w:fldCharType="separate"/>
            </w:r>
            <w:r>
              <w:rPr>
                <w:noProof/>
              </w:rPr>
              <w:t>45</w:t>
            </w:r>
            <w:r>
              <w:rPr>
                <w:noProof/>
              </w:rPr>
              <w:fldChar w:fldCharType="end"/>
            </w:r>
          </w:hyperlink>
        </w:p>
        <w:p w14:paraId="652BCC8A" w14:textId="2FE20ECE"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6" w:history="1">
            <w:r w:rsidRPr="00340E4A">
              <w:rPr>
                <w:rStyle w:val="Hyperlink"/>
                <w:noProof/>
              </w:rPr>
              <w:t>17.3 Deep Dive: Credit Risk &amp; Underwriting</w:t>
            </w:r>
            <w:r>
              <w:rPr>
                <w:noProof/>
              </w:rPr>
              <w:tab/>
            </w:r>
            <w:r>
              <w:rPr>
                <w:noProof/>
              </w:rPr>
              <w:fldChar w:fldCharType="begin"/>
            </w:r>
            <w:r>
              <w:rPr>
                <w:noProof/>
              </w:rPr>
              <w:instrText xml:space="preserve"> PAGEREF _Toc241649736 \h </w:instrText>
            </w:r>
            <w:r>
              <w:rPr>
                <w:noProof/>
              </w:rPr>
            </w:r>
            <w:r>
              <w:rPr>
                <w:noProof/>
              </w:rPr>
              <w:fldChar w:fldCharType="separate"/>
            </w:r>
            <w:r>
              <w:rPr>
                <w:noProof/>
              </w:rPr>
              <w:t>45</w:t>
            </w:r>
            <w:r>
              <w:rPr>
                <w:noProof/>
              </w:rPr>
              <w:fldChar w:fldCharType="end"/>
            </w:r>
          </w:hyperlink>
        </w:p>
        <w:p w14:paraId="5C52B5A7" w14:textId="645FA936"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7" w:history="1">
            <w:r w:rsidRPr="00340E4A">
              <w:rPr>
                <w:rStyle w:val="Hyperlink"/>
                <w:noProof/>
              </w:rPr>
              <w:t>17.3.1 The Problem</w:t>
            </w:r>
            <w:r>
              <w:rPr>
                <w:noProof/>
              </w:rPr>
              <w:tab/>
            </w:r>
            <w:r>
              <w:rPr>
                <w:noProof/>
              </w:rPr>
              <w:fldChar w:fldCharType="begin"/>
            </w:r>
            <w:r>
              <w:rPr>
                <w:noProof/>
              </w:rPr>
              <w:instrText xml:space="preserve"> PAGEREF _Toc241649737 \h </w:instrText>
            </w:r>
            <w:r>
              <w:rPr>
                <w:noProof/>
              </w:rPr>
            </w:r>
            <w:r>
              <w:rPr>
                <w:noProof/>
              </w:rPr>
              <w:fldChar w:fldCharType="separate"/>
            </w:r>
            <w:r>
              <w:rPr>
                <w:noProof/>
              </w:rPr>
              <w:t>45</w:t>
            </w:r>
            <w:r>
              <w:rPr>
                <w:noProof/>
              </w:rPr>
              <w:fldChar w:fldCharType="end"/>
            </w:r>
          </w:hyperlink>
        </w:p>
        <w:p w14:paraId="6C0FBA9B" w14:textId="14634C8A"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8" w:history="1">
            <w:r w:rsidRPr="00340E4A">
              <w:rPr>
                <w:rStyle w:val="Hyperlink"/>
                <w:noProof/>
              </w:rPr>
              <w:t>17.3.2 How Microsoft Azure and Azure AI Can Help</w:t>
            </w:r>
            <w:r>
              <w:rPr>
                <w:noProof/>
              </w:rPr>
              <w:tab/>
            </w:r>
            <w:r>
              <w:rPr>
                <w:noProof/>
              </w:rPr>
              <w:fldChar w:fldCharType="begin"/>
            </w:r>
            <w:r>
              <w:rPr>
                <w:noProof/>
              </w:rPr>
              <w:instrText xml:space="preserve"> PAGEREF _Toc241649738 \h </w:instrText>
            </w:r>
            <w:r>
              <w:rPr>
                <w:noProof/>
              </w:rPr>
            </w:r>
            <w:r>
              <w:rPr>
                <w:noProof/>
              </w:rPr>
              <w:fldChar w:fldCharType="separate"/>
            </w:r>
            <w:r>
              <w:rPr>
                <w:noProof/>
              </w:rPr>
              <w:t>46</w:t>
            </w:r>
            <w:r>
              <w:rPr>
                <w:noProof/>
              </w:rPr>
              <w:fldChar w:fldCharType="end"/>
            </w:r>
          </w:hyperlink>
        </w:p>
        <w:p w14:paraId="3276BE93" w14:textId="71948622"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9" w:history="1">
            <w:r w:rsidRPr="00340E4A">
              <w:rPr>
                <w:rStyle w:val="Hyperlink"/>
                <w:noProof/>
              </w:rPr>
              <w:t>17.3.3 Specific Azure and Microsoft Products</w:t>
            </w:r>
            <w:r>
              <w:rPr>
                <w:noProof/>
              </w:rPr>
              <w:tab/>
            </w:r>
            <w:r>
              <w:rPr>
                <w:noProof/>
              </w:rPr>
              <w:fldChar w:fldCharType="begin"/>
            </w:r>
            <w:r>
              <w:rPr>
                <w:noProof/>
              </w:rPr>
              <w:instrText xml:space="preserve"> PAGEREF _Toc241649739 \h </w:instrText>
            </w:r>
            <w:r>
              <w:rPr>
                <w:noProof/>
              </w:rPr>
            </w:r>
            <w:r>
              <w:rPr>
                <w:noProof/>
              </w:rPr>
              <w:fldChar w:fldCharType="separate"/>
            </w:r>
            <w:r>
              <w:rPr>
                <w:noProof/>
              </w:rPr>
              <w:t>46</w:t>
            </w:r>
            <w:r>
              <w:rPr>
                <w:noProof/>
              </w:rPr>
              <w:fldChar w:fldCharType="end"/>
            </w:r>
          </w:hyperlink>
        </w:p>
        <w:p w14:paraId="1079E765" w14:textId="6B3270F9"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0" w:history="1">
            <w:r w:rsidRPr="00340E4A">
              <w:rPr>
                <w:rStyle w:val="Hyperlink"/>
                <w:noProof/>
              </w:rPr>
              <w:t>17.3.4 Illustrative Solution Pattern</w:t>
            </w:r>
            <w:r>
              <w:rPr>
                <w:noProof/>
              </w:rPr>
              <w:tab/>
            </w:r>
            <w:r>
              <w:rPr>
                <w:noProof/>
              </w:rPr>
              <w:fldChar w:fldCharType="begin"/>
            </w:r>
            <w:r>
              <w:rPr>
                <w:noProof/>
              </w:rPr>
              <w:instrText xml:space="preserve"> PAGEREF _Toc241649740 \h </w:instrText>
            </w:r>
            <w:r>
              <w:rPr>
                <w:noProof/>
              </w:rPr>
            </w:r>
            <w:r>
              <w:rPr>
                <w:noProof/>
              </w:rPr>
              <w:fldChar w:fldCharType="separate"/>
            </w:r>
            <w:r>
              <w:rPr>
                <w:noProof/>
              </w:rPr>
              <w:t>47</w:t>
            </w:r>
            <w:r>
              <w:rPr>
                <w:noProof/>
              </w:rPr>
              <w:fldChar w:fldCharType="end"/>
            </w:r>
          </w:hyperlink>
        </w:p>
        <w:p w14:paraId="2FAEC6F0" w14:textId="6A3594F9"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1" w:history="1">
            <w:r w:rsidRPr="00340E4A">
              <w:rPr>
                <w:rStyle w:val="Hyperlink"/>
                <w:noProof/>
              </w:rPr>
              <w:t>17.3.5 Business Benefits</w:t>
            </w:r>
            <w:r>
              <w:rPr>
                <w:noProof/>
              </w:rPr>
              <w:tab/>
            </w:r>
            <w:r>
              <w:rPr>
                <w:noProof/>
              </w:rPr>
              <w:fldChar w:fldCharType="begin"/>
            </w:r>
            <w:r>
              <w:rPr>
                <w:noProof/>
              </w:rPr>
              <w:instrText xml:space="preserve"> PAGEREF _Toc241649741 \h </w:instrText>
            </w:r>
            <w:r>
              <w:rPr>
                <w:noProof/>
              </w:rPr>
            </w:r>
            <w:r>
              <w:rPr>
                <w:noProof/>
              </w:rPr>
              <w:fldChar w:fldCharType="separate"/>
            </w:r>
            <w:r>
              <w:rPr>
                <w:noProof/>
              </w:rPr>
              <w:t>48</w:t>
            </w:r>
            <w:r>
              <w:rPr>
                <w:noProof/>
              </w:rPr>
              <w:fldChar w:fldCharType="end"/>
            </w:r>
          </w:hyperlink>
        </w:p>
        <w:p w14:paraId="5F12B655" w14:textId="4E0ABDF6"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2" w:history="1">
            <w:r w:rsidRPr="00340E4A">
              <w:rPr>
                <w:rStyle w:val="Hyperlink"/>
                <w:noProof/>
              </w:rPr>
              <w:t>17.3.6 Data and Integration Requirements</w:t>
            </w:r>
            <w:r>
              <w:rPr>
                <w:noProof/>
              </w:rPr>
              <w:tab/>
            </w:r>
            <w:r>
              <w:rPr>
                <w:noProof/>
              </w:rPr>
              <w:fldChar w:fldCharType="begin"/>
            </w:r>
            <w:r>
              <w:rPr>
                <w:noProof/>
              </w:rPr>
              <w:instrText xml:space="preserve"> PAGEREF _Toc241649742 \h </w:instrText>
            </w:r>
            <w:r>
              <w:rPr>
                <w:noProof/>
              </w:rPr>
            </w:r>
            <w:r>
              <w:rPr>
                <w:noProof/>
              </w:rPr>
              <w:fldChar w:fldCharType="separate"/>
            </w:r>
            <w:r>
              <w:rPr>
                <w:noProof/>
              </w:rPr>
              <w:t>48</w:t>
            </w:r>
            <w:r>
              <w:rPr>
                <w:noProof/>
              </w:rPr>
              <w:fldChar w:fldCharType="end"/>
            </w:r>
          </w:hyperlink>
        </w:p>
        <w:p w14:paraId="6BE9D037" w14:textId="13D587F9"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3" w:history="1">
            <w:r w:rsidRPr="00340E4A">
              <w:rPr>
                <w:rStyle w:val="Hyperlink"/>
                <w:noProof/>
              </w:rPr>
              <w:t>17.3.7 Risk, Governance and Human Oversight Considerations</w:t>
            </w:r>
            <w:r>
              <w:rPr>
                <w:noProof/>
              </w:rPr>
              <w:tab/>
            </w:r>
            <w:r>
              <w:rPr>
                <w:noProof/>
              </w:rPr>
              <w:fldChar w:fldCharType="begin"/>
            </w:r>
            <w:r>
              <w:rPr>
                <w:noProof/>
              </w:rPr>
              <w:instrText xml:space="preserve"> PAGEREF _Toc241649743 \h </w:instrText>
            </w:r>
            <w:r>
              <w:rPr>
                <w:noProof/>
              </w:rPr>
            </w:r>
            <w:r>
              <w:rPr>
                <w:noProof/>
              </w:rPr>
              <w:fldChar w:fldCharType="separate"/>
            </w:r>
            <w:r>
              <w:rPr>
                <w:noProof/>
              </w:rPr>
              <w:t>48</w:t>
            </w:r>
            <w:r>
              <w:rPr>
                <w:noProof/>
              </w:rPr>
              <w:fldChar w:fldCharType="end"/>
            </w:r>
          </w:hyperlink>
        </w:p>
        <w:p w14:paraId="03E5B90F" w14:textId="5A254CBA"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4" w:history="1">
            <w:r w:rsidRPr="00340E4A">
              <w:rPr>
                <w:rStyle w:val="Hyperlink"/>
                <w:noProof/>
              </w:rPr>
              <w:t>17.3.8 Success Metrics (KPIs)</w:t>
            </w:r>
            <w:r>
              <w:rPr>
                <w:noProof/>
              </w:rPr>
              <w:tab/>
            </w:r>
            <w:r>
              <w:rPr>
                <w:noProof/>
              </w:rPr>
              <w:fldChar w:fldCharType="begin"/>
            </w:r>
            <w:r>
              <w:rPr>
                <w:noProof/>
              </w:rPr>
              <w:instrText xml:space="preserve"> PAGEREF _Toc241649744 \h </w:instrText>
            </w:r>
            <w:r>
              <w:rPr>
                <w:noProof/>
              </w:rPr>
            </w:r>
            <w:r>
              <w:rPr>
                <w:noProof/>
              </w:rPr>
              <w:fldChar w:fldCharType="separate"/>
            </w:r>
            <w:r>
              <w:rPr>
                <w:noProof/>
              </w:rPr>
              <w:t>49</w:t>
            </w:r>
            <w:r>
              <w:rPr>
                <w:noProof/>
              </w:rPr>
              <w:fldChar w:fldCharType="end"/>
            </w:r>
          </w:hyperlink>
        </w:p>
        <w:p w14:paraId="1EF9174B" w14:textId="09FBD7BA"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5" w:history="1">
            <w:r w:rsidRPr="00340E4A">
              <w:rPr>
                <w:rStyle w:val="Hyperlink"/>
                <w:noProof/>
              </w:rPr>
              <w:t>17.3.9 Sample Business Case Outline</w:t>
            </w:r>
            <w:r>
              <w:rPr>
                <w:noProof/>
              </w:rPr>
              <w:tab/>
            </w:r>
            <w:r>
              <w:rPr>
                <w:noProof/>
              </w:rPr>
              <w:fldChar w:fldCharType="begin"/>
            </w:r>
            <w:r>
              <w:rPr>
                <w:noProof/>
              </w:rPr>
              <w:instrText xml:space="preserve"> PAGEREF _Toc241649745 \h </w:instrText>
            </w:r>
            <w:r>
              <w:rPr>
                <w:noProof/>
              </w:rPr>
            </w:r>
            <w:r>
              <w:rPr>
                <w:noProof/>
              </w:rPr>
              <w:fldChar w:fldCharType="separate"/>
            </w:r>
            <w:r>
              <w:rPr>
                <w:noProof/>
              </w:rPr>
              <w:t>49</w:t>
            </w:r>
            <w:r>
              <w:rPr>
                <w:noProof/>
              </w:rPr>
              <w:fldChar w:fldCharType="end"/>
            </w:r>
          </w:hyperlink>
        </w:p>
        <w:p w14:paraId="54FF5D7B" w14:textId="2C541130"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6" w:history="1">
            <w:r w:rsidRPr="00340E4A">
              <w:rPr>
                <w:rStyle w:val="Hyperlink"/>
                <w:noProof/>
              </w:rPr>
              <w:t>17.4 Deep Dive: Compliance &amp; Regulatory Reporting</w:t>
            </w:r>
            <w:r>
              <w:rPr>
                <w:noProof/>
              </w:rPr>
              <w:tab/>
            </w:r>
            <w:r>
              <w:rPr>
                <w:noProof/>
              </w:rPr>
              <w:fldChar w:fldCharType="begin"/>
            </w:r>
            <w:r>
              <w:rPr>
                <w:noProof/>
              </w:rPr>
              <w:instrText xml:space="preserve"> PAGEREF _Toc241649746 \h </w:instrText>
            </w:r>
            <w:r>
              <w:rPr>
                <w:noProof/>
              </w:rPr>
            </w:r>
            <w:r>
              <w:rPr>
                <w:noProof/>
              </w:rPr>
              <w:fldChar w:fldCharType="separate"/>
            </w:r>
            <w:r>
              <w:rPr>
                <w:noProof/>
              </w:rPr>
              <w:t>49</w:t>
            </w:r>
            <w:r>
              <w:rPr>
                <w:noProof/>
              </w:rPr>
              <w:fldChar w:fldCharType="end"/>
            </w:r>
          </w:hyperlink>
        </w:p>
        <w:p w14:paraId="63B20B3A" w14:textId="7667E64B"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7" w:history="1">
            <w:r w:rsidRPr="00340E4A">
              <w:rPr>
                <w:rStyle w:val="Hyperlink"/>
                <w:noProof/>
              </w:rPr>
              <w:t>17.4.1 The Problem</w:t>
            </w:r>
            <w:r>
              <w:rPr>
                <w:noProof/>
              </w:rPr>
              <w:tab/>
            </w:r>
            <w:r>
              <w:rPr>
                <w:noProof/>
              </w:rPr>
              <w:fldChar w:fldCharType="begin"/>
            </w:r>
            <w:r>
              <w:rPr>
                <w:noProof/>
              </w:rPr>
              <w:instrText xml:space="preserve"> PAGEREF _Toc241649747 \h </w:instrText>
            </w:r>
            <w:r>
              <w:rPr>
                <w:noProof/>
              </w:rPr>
            </w:r>
            <w:r>
              <w:rPr>
                <w:noProof/>
              </w:rPr>
              <w:fldChar w:fldCharType="separate"/>
            </w:r>
            <w:r>
              <w:rPr>
                <w:noProof/>
              </w:rPr>
              <w:t>50</w:t>
            </w:r>
            <w:r>
              <w:rPr>
                <w:noProof/>
              </w:rPr>
              <w:fldChar w:fldCharType="end"/>
            </w:r>
          </w:hyperlink>
        </w:p>
        <w:p w14:paraId="40659E37" w14:textId="5022A621"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8" w:history="1">
            <w:r w:rsidRPr="00340E4A">
              <w:rPr>
                <w:rStyle w:val="Hyperlink"/>
                <w:noProof/>
              </w:rPr>
              <w:t>17.4.2 How Microsoft Azure and Azure AI Can Help</w:t>
            </w:r>
            <w:r>
              <w:rPr>
                <w:noProof/>
              </w:rPr>
              <w:tab/>
            </w:r>
            <w:r>
              <w:rPr>
                <w:noProof/>
              </w:rPr>
              <w:fldChar w:fldCharType="begin"/>
            </w:r>
            <w:r>
              <w:rPr>
                <w:noProof/>
              </w:rPr>
              <w:instrText xml:space="preserve"> PAGEREF _Toc241649748 \h </w:instrText>
            </w:r>
            <w:r>
              <w:rPr>
                <w:noProof/>
              </w:rPr>
            </w:r>
            <w:r>
              <w:rPr>
                <w:noProof/>
              </w:rPr>
              <w:fldChar w:fldCharType="separate"/>
            </w:r>
            <w:r>
              <w:rPr>
                <w:noProof/>
              </w:rPr>
              <w:t>50</w:t>
            </w:r>
            <w:r>
              <w:rPr>
                <w:noProof/>
              </w:rPr>
              <w:fldChar w:fldCharType="end"/>
            </w:r>
          </w:hyperlink>
        </w:p>
        <w:p w14:paraId="15737E46" w14:textId="710E6E96"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49" w:history="1">
            <w:r w:rsidRPr="00340E4A">
              <w:rPr>
                <w:rStyle w:val="Hyperlink"/>
                <w:noProof/>
              </w:rPr>
              <w:t>17.4.3 Specific Azure and Microsoft Products</w:t>
            </w:r>
            <w:r>
              <w:rPr>
                <w:noProof/>
              </w:rPr>
              <w:tab/>
            </w:r>
            <w:r>
              <w:rPr>
                <w:noProof/>
              </w:rPr>
              <w:fldChar w:fldCharType="begin"/>
            </w:r>
            <w:r>
              <w:rPr>
                <w:noProof/>
              </w:rPr>
              <w:instrText xml:space="preserve"> PAGEREF _Toc241649749 \h </w:instrText>
            </w:r>
            <w:r>
              <w:rPr>
                <w:noProof/>
              </w:rPr>
            </w:r>
            <w:r>
              <w:rPr>
                <w:noProof/>
              </w:rPr>
              <w:fldChar w:fldCharType="separate"/>
            </w:r>
            <w:r>
              <w:rPr>
                <w:noProof/>
              </w:rPr>
              <w:t>50</w:t>
            </w:r>
            <w:r>
              <w:rPr>
                <w:noProof/>
              </w:rPr>
              <w:fldChar w:fldCharType="end"/>
            </w:r>
          </w:hyperlink>
        </w:p>
        <w:p w14:paraId="0ABFF230" w14:textId="37A5DA84"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0" w:history="1">
            <w:r w:rsidRPr="00340E4A">
              <w:rPr>
                <w:rStyle w:val="Hyperlink"/>
                <w:noProof/>
              </w:rPr>
              <w:t>17.4.4 Illustrative Solution Pattern</w:t>
            </w:r>
            <w:r>
              <w:rPr>
                <w:noProof/>
              </w:rPr>
              <w:tab/>
            </w:r>
            <w:r>
              <w:rPr>
                <w:noProof/>
              </w:rPr>
              <w:fldChar w:fldCharType="begin"/>
            </w:r>
            <w:r>
              <w:rPr>
                <w:noProof/>
              </w:rPr>
              <w:instrText xml:space="preserve"> PAGEREF _Toc241649750 \h </w:instrText>
            </w:r>
            <w:r>
              <w:rPr>
                <w:noProof/>
              </w:rPr>
            </w:r>
            <w:r>
              <w:rPr>
                <w:noProof/>
              </w:rPr>
              <w:fldChar w:fldCharType="separate"/>
            </w:r>
            <w:r>
              <w:rPr>
                <w:noProof/>
              </w:rPr>
              <w:t>52</w:t>
            </w:r>
            <w:r>
              <w:rPr>
                <w:noProof/>
              </w:rPr>
              <w:fldChar w:fldCharType="end"/>
            </w:r>
          </w:hyperlink>
        </w:p>
        <w:p w14:paraId="00BADC1B" w14:textId="134D3001"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1" w:history="1">
            <w:r w:rsidRPr="00340E4A">
              <w:rPr>
                <w:rStyle w:val="Hyperlink"/>
                <w:noProof/>
              </w:rPr>
              <w:t>17.4.5 Business Benefits</w:t>
            </w:r>
            <w:r>
              <w:rPr>
                <w:noProof/>
              </w:rPr>
              <w:tab/>
            </w:r>
            <w:r>
              <w:rPr>
                <w:noProof/>
              </w:rPr>
              <w:fldChar w:fldCharType="begin"/>
            </w:r>
            <w:r>
              <w:rPr>
                <w:noProof/>
              </w:rPr>
              <w:instrText xml:space="preserve"> PAGEREF _Toc241649751 \h </w:instrText>
            </w:r>
            <w:r>
              <w:rPr>
                <w:noProof/>
              </w:rPr>
            </w:r>
            <w:r>
              <w:rPr>
                <w:noProof/>
              </w:rPr>
              <w:fldChar w:fldCharType="separate"/>
            </w:r>
            <w:r>
              <w:rPr>
                <w:noProof/>
              </w:rPr>
              <w:t>52</w:t>
            </w:r>
            <w:r>
              <w:rPr>
                <w:noProof/>
              </w:rPr>
              <w:fldChar w:fldCharType="end"/>
            </w:r>
          </w:hyperlink>
        </w:p>
        <w:p w14:paraId="1B9AA1EC" w14:textId="4C32421A"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2" w:history="1">
            <w:r w:rsidRPr="00340E4A">
              <w:rPr>
                <w:rStyle w:val="Hyperlink"/>
                <w:noProof/>
              </w:rPr>
              <w:t>17.4.6 Data and Integration Requirements</w:t>
            </w:r>
            <w:r>
              <w:rPr>
                <w:noProof/>
              </w:rPr>
              <w:tab/>
            </w:r>
            <w:r>
              <w:rPr>
                <w:noProof/>
              </w:rPr>
              <w:fldChar w:fldCharType="begin"/>
            </w:r>
            <w:r>
              <w:rPr>
                <w:noProof/>
              </w:rPr>
              <w:instrText xml:space="preserve"> PAGEREF _Toc241649752 \h </w:instrText>
            </w:r>
            <w:r>
              <w:rPr>
                <w:noProof/>
              </w:rPr>
            </w:r>
            <w:r>
              <w:rPr>
                <w:noProof/>
              </w:rPr>
              <w:fldChar w:fldCharType="separate"/>
            </w:r>
            <w:r>
              <w:rPr>
                <w:noProof/>
              </w:rPr>
              <w:t>53</w:t>
            </w:r>
            <w:r>
              <w:rPr>
                <w:noProof/>
              </w:rPr>
              <w:fldChar w:fldCharType="end"/>
            </w:r>
          </w:hyperlink>
        </w:p>
        <w:p w14:paraId="1642915C" w14:textId="1B5D58AC"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3" w:history="1">
            <w:r w:rsidRPr="00340E4A">
              <w:rPr>
                <w:rStyle w:val="Hyperlink"/>
                <w:noProof/>
              </w:rPr>
              <w:t>17.4.7 Risk, Governance and Human Oversight Considerations</w:t>
            </w:r>
            <w:r>
              <w:rPr>
                <w:noProof/>
              </w:rPr>
              <w:tab/>
            </w:r>
            <w:r>
              <w:rPr>
                <w:noProof/>
              </w:rPr>
              <w:fldChar w:fldCharType="begin"/>
            </w:r>
            <w:r>
              <w:rPr>
                <w:noProof/>
              </w:rPr>
              <w:instrText xml:space="preserve"> PAGEREF _Toc241649753 \h </w:instrText>
            </w:r>
            <w:r>
              <w:rPr>
                <w:noProof/>
              </w:rPr>
            </w:r>
            <w:r>
              <w:rPr>
                <w:noProof/>
              </w:rPr>
              <w:fldChar w:fldCharType="separate"/>
            </w:r>
            <w:r>
              <w:rPr>
                <w:noProof/>
              </w:rPr>
              <w:t>53</w:t>
            </w:r>
            <w:r>
              <w:rPr>
                <w:noProof/>
              </w:rPr>
              <w:fldChar w:fldCharType="end"/>
            </w:r>
          </w:hyperlink>
        </w:p>
        <w:p w14:paraId="12CF455D" w14:textId="400CD1E1"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4" w:history="1">
            <w:r w:rsidRPr="00340E4A">
              <w:rPr>
                <w:rStyle w:val="Hyperlink"/>
                <w:noProof/>
              </w:rPr>
              <w:t>17.4.8 Success Metrics (KPIs)</w:t>
            </w:r>
            <w:r>
              <w:rPr>
                <w:noProof/>
              </w:rPr>
              <w:tab/>
            </w:r>
            <w:r>
              <w:rPr>
                <w:noProof/>
              </w:rPr>
              <w:fldChar w:fldCharType="begin"/>
            </w:r>
            <w:r>
              <w:rPr>
                <w:noProof/>
              </w:rPr>
              <w:instrText xml:space="preserve"> PAGEREF _Toc241649754 \h </w:instrText>
            </w:r>
            <w:r>
              <w:rPr>
                <w:noProof/>
              </w:rPr>
            </w:r>
            <w:r>
              <w:rPr>
                <w:noProof/>
              </w:rPr>
              <w:fldChar w:fldCharType="separate"/>
            </w:r>
            <w:r>
              <w:rPr>
                <w:noProof/>
              </w:rPr>
              <w:t>53</w:t>
            </w:r>
            <w:r>
              <w:rPr>
                <w:noProof/>
              </w:rPr>
              <w:fldChar w:fldCharType="end"/>
            </w:r>
          </w:hyperlink>
        </w:p>
        <w:p w14:paraId="34A4AED4" w14:textId="13C2C782"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5" w:history="1">
            <w:r w:rsidRPr="00340E4A">
              <w:rPr>
                <w:rStyle w:val="Hyperlink"/>
                <w:noProof/>
              </w:rPr>
              <w:t>17.4.9 Sample Business Case Outline</w:t>
            </w:r>
            <w:r>
              <w:rPr>
                <w:noProof/>
              </w:rPr>
              <w:tab/>
            </w:r>
            <w:r>
              <w:rPr>
                <w:noProof/>
              </w:rPr>
              <w:fldChar w:fldCharType="begin"/>
            </w:r>
            <w:r>
              <w:rPr>
                <w:noProof/>
              </w:rPr>
              <w:instrText xml:space="preserve"> PAGEREF _Toc241649755 \h </w:instrText>
            </w:r>
            <w:r>
              <w:rPr>
                <w:noProof/>
              </w:rPr>
            </w:r>
            <w:r>
              <w:rPr>
                <w:noProof/>
              </w:rPr>
              <w:fldChar w:fldCharType="separate"/>
            </w:r>
            <w:r>
              <w:rPr>
                <w:noProof/>
              </w:rPr>
              <w:t>54</w:t>
            </w:r>
            <w:r>
              <w:rPr>
                <w:noProof/>
              </w:rPr>
              <w:fldChar w:fldCharType="end"/>
            </w:r>
          </w:hyperlink>
        </w:p>
        <w:p w14:paraId="2CD3D964" w14:textId="0A965140"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6" w:history="1">
            <w:r w:rsidRPr="00340E4A">
              <w:rPr>
                <w:rStyle w:val="Hyperlink"/>
                <w:noProof/>
              </w:rPr>
              <w:t>17.5 Deep Dive: Operations &amp; Back-Office Processing</w:t>
            </w:r>
            <w:r>
              <w:rPr>
                <w:noProof/>
              </w:rPr>
              <w:tab/>
            </w:r>
            <w:r>
              <w:rPr>
                <w:noProof/>
              </w:rPr>
              <w:fldChar w:fldCharType="begin"/>
            </w:r>
            <w:r>
              <w:rPr>
                <w:noProof/>
              </w:rPr>
              <w:instrText xml:space="preserve"> PAGEREF _Toc241649756 \h </w:instrText>
            </w:r>
            <w:r>
              <w:rPr>
                <w:noProof/>
              </w:rPr>
            </w:r>
            <w:r>
              <w:rPr>
                <w:noProof/>
              </w:rPr>
              <w:fldChar w:fldCharType="separate"/>
            </w:r>
            <w:r>
              <w:rPr>
                <w:noProof/>
              </w:rPr>
              <w:t>54</w:t>
            </w:r>
            <w:r>
              <w:rPr>
                <w:noProof/>
              </w:rPr>
              <w:fldChar w:fldCharType="end"/>
            </w:r>
          </w:hyperlink>
        </w:p>
        <w:p w14:paraId="56478F68" w14:textId="7AA5A584"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7" w:history="1">
            <w:r w:rsidRPr="00340E4A">
              <w:rPr>
                <w:rStyle w:val="Hyperlink"/>
                <w:noProof/>
              </w:rPr>
              <w:t>17.5.1 The Problem</w:t>
            </w:r>
            <w:r>
              <w:rPr>
                <w:noProof/>
              </w:rPr>
              <w:tab/>
            </w:r>
            <w:r>
              <w:rPr>
                <w:noProof/>
              </w:rPr>
              <w:fldChar w:fldCharType="begin"/>
            </w:r>
            <w:r>
              <w:rPr>
                <w:noProof/>
              </w:rPr>
              <w:instrText xml:space="preserve"> PAGEREF _Toc241649757 \h </w:instrText>
            </w:r>
            <w:r>
              <w:rPr>
                <w:noProof/>
              </w:rPr>
            </w:r>
            <w:r>
              <w:rPr>
                <w:noProof/>
              </w:rPr>
              <w:fldChar w:fldCharType="separate"/>
            </w:r>
            <w:r>
              <w:rPr>
                <w:noProof/>
              </w:rPr>
              <w:t>54</w:t>
            </w:r>
            <w:r>
              <w:rPr>
                <w:noProof/>
              </w:rPr>
              <w:fldChar w:fldCharType="end"/>
            </w:r>
          </w:hyperlink>
        </w:p>
        <w:p w14:paraId="12556236" w14:textId="021B6CDB"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8" w:history="1">
            <w:r w:rsidRPr="00340E4A">
              <w:rPr>
                <w:rStyle w:val="Hyperlink"/>
                <w:noProof/>
              </w:rPr>
              <w:t>17.5.2 How Microsoft Azure and Azure AI Can Help</w:t>
            </w:r>
            <w:r>
              <w:rPr>
                <w:noProof/>
              </w:rPr>
              <w:tab/>
            </w:r>
            <w:r>
              <w:rPr>
                <w:noProof/>
              </w:rPr>
              <w:fldChar w:fldCharType="begin"/>
            </w:r>
            <w:r>
              <w:rPr>
                <w:noProof/>
              </w:rPr>
              <w:instrText xml:space="preserve"> PAGEREF _Toc241649758 \h </w:instrText>
            </w:r>
            <w:r>
              <w:rPr>
                <w:noProof/>
              </w:rPr>
            </w:r>
            <w:r>
              <w:rPr>
                <w:noProof/>
              </w:rPr>
              <w:fldChar w:fldCharType="separate"/>
            </w:r>
            <w:r>
              <w:rPr>
                <w:noProof/>
              </w:rPr>
              <w:t>54</w:t>
            </w:r>
            <w:r>
              <w:rPr>
                <w:noProof/>
              </w:rPr>
              <w:fldChar w:fldCharType="end"/>
            </w:r>
          </w:hyperlink>
        </w:p>
        <w:p w14:paraId="70A5701B" w14:textId="36D5A53B"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59" w:history="1">
            <w:r w:rsidRPr="00340E4A">
              <w:rPr>
                <w:rStyle w:val="Hyperlink"/>
                <w:noProof/>
              </w:rPr>
              <w:t>17.5.3 Specific Azure and Microsoft Products</w:t>
            </w:r>
            <w:r>
              <w:rPr>
                <w:noProof/>
              </w:rPr>
              <w:tab/>
            </w:r>
            <w:r>
              <w:rPr>
                <w:noProof/>
              </w:rPr>
              <w:fldChar w:fldCharType="begin"/>
            </w:r>
            <w:r>
              <w:rPr>
                <w:noProof/>
              </w:rPr>
              <w:instrText xml:space="preserve"> PAGEREF _Toc241649759 \h </w:instrText>
            </w:r>
            <w:r>
              <w:rPr>
                <w:noProof/>
              </w:rPr>
            </w:r>
            <w:r>
              <w:rPr>
                <w:noProof/>
              </w:rPr>
              <w:fldChar w:fldCharType="separate"/>
            </w:r>
            <w:r>
              <w:rPr>
                <w:noProof/>
              </w:rPr>
              <w:t>55</w:t>
            </w:r>
            <w:r>
              <w:rPr>
                <w:noProof/>
              </w:rPr>
              <w:fldChar w:fldCharType="end"/>
            </w:r>
          </w:hyperlink>
        </w:p>
        <w:p w14:paraId="15CAA862" w14:textId="09F71556"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0" w:history="1">
            <w:r w:rsidRPr="00340E4A">
              <w:rPr>
                <w:rStyle w:val="Hyperlink"/>
                <w:noProof/>
              </w:rPr>
              <w:t>17.5.4 Illustrative Solution Pattern</w:t>
            </w:r>
            <w:r>
              <w:rPr>
                <w:noProof/>
              </w:rPr>
              <w:tab/>
            </w:r>
            <w:r>
              <w:rPr>
                <w:noProof/>
              </w:rPr>
              <w:fldChar w:fldCharType="begin"/>
            </w:r>
            <w:r>
              <w:rPr>
                <w:noProof/>
              </w:rPr>
              <w:instrText xml:space="preserve"> PAGEREF _Toc241649760 \h </w:instrText>
            </w:r>
            <w:r>
              <w:rPr>
                <w:noProof/>
              </w:rPr>
            </w:r>
            <w:r>
              <w:rPr>
                <w:noProof/>
              </w:rPr>
              <w:fldChar w:fldCharType="separate"/>
            </w:r>
            <w:r>
              <w:rPr>
                <w:noProof/>
              </w:rPr>
              <w:t>56</w:t>
            </w:r>
            <w:r>
              <w:rPr>
                <w:noProof/>
              </w:rPr>
              <w:fldChar w:fldCharType="end"/>
            </w:r>
          </w:hyperlink>
        </w:p>
        <w:p w14:paraId="1AAA72B9" w14:textId="26A5F1A0"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1" w:history="1">
            <w:r w:rsidRPr="00340E4A">
              <w:rPr>
                <w:rStyle w:val="Hyperlink"/>
                <w:noProof/>
              </w:rPr>
              <w:t>17.5.5 Business Benefits</w:t>
            </w:r>
            <w:r>
              <w:rPr>
                <w:noProof/>
              </w:rPr>
              <w:tab/>
            </w:r>
            <w:r>
              <w:rPr>
                <w:noProof/>
              </w:rPr>
              <w:fldChar w:fldCharType="begin"/>
            </w:r>
            <w:r>
              <w:rPr>
                <w:noProof/>
              </w:rPr>
              <w:instrText xml:space="preserve"> PAGEREF _Toc241649761 \h </w:instrText>
            </w:r>
            <w:r>
              <w:rPr>
                <w:noProof/>
              </w:rPr>
            </w:r>
            <w:r>
              <w:rPr>
                <w:noProof/>
              </w:rPr>
              <w:fldChar w:fldCharType="separate"/>
            </w:r>
            <w:r>
              <w:rPr>
                <w:noProof/>
              </w:rPr>
              <w:t>57</w:t>
            </w:r>
            <w:r>
              <w:rPr>
                <w:noProof/>
              </w:rPr>
              <w:fldChar w:fldCharType="end"/>
            </w:r>
          </w:hyperlink>
        </w:p>
        <w:p w14:paraId="17FFE2C0" w14:textId="138435CF"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2" w:history="1">
            <w:r w:rsidRPr="00340E4A">
              <w:rPr>
                <w:rStyle w:val="Hyperlink"/>
                <w:noProof/>
              </w:rPr>
              <w:t>17.5.6 Data and Integration Requirements</w:t>
            </w:r>
            <w:r>
              <w:rPr>
                <w:noProof/>
              </w:rPr>
              <w:tab/>
            </w:r>
            <w:r>
              <w:rPr>
                <w:noProof/>
              </w:rPr>
              <w:fldChar w:fldCharType="begin"/>
            </w:r>
            <w:r>
              <w:rPr>
                <w:noProof/>
              </w:rPr>
              <w:instrText xml:space="preserve"> PAGEREF _Toc241649762 \h </w:instrText>
            </w:r>
            <w:r>
              <w:rPr>
                <w:noProof/>
              </w:rPr>
            </w:r>
            <w:r>
              <w:rPr>
                <w:noProof/>
              </w:rPr>
              <w:fldChar w:fldCharType="separate"/>
            </w:r>
            <w:r>
              <w:rPr>
                <w:noProof/>
              </w:rPr>
              <w:t>57</w:t>
            </w:r>
            <w:r>
              <w:rPr>
                <w:noProof/>
              </w:rPr>
              <w:fldChar w:fldCharType="end"/>
            </w:r>
          </w:hyperlink>
        </w:p>
        <w:p w14:paraId="4EAA946D" w14:textId="73101372"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3" w:history="1">
            <w:r w:rsidRPr="00340E4A">
              <w:rPr>
                <w:rStyle w:val="Hyperlink"/>
                <w:noProof/>
              </w:rPr>
              <w:t>17.5.7 Risk, Governance and Human Oversight Considerations</w:t>
            </w:r>
            <w:r>
              <w:rPr>
                <w:noProof/>
              </w:rPr>
              <w:tab/>
            </w:r>
            <w:r>
              <w:rPr>
                <w:noProof/>
              </w:rPr>
              <w:fldChar w:fldCharType="begin"/>
            </w:r>
            <w:r>
              <w:rPr>
                <w:noProof/>
              </w:rPr>
              <w:instrText xml:space="preserve"> PAGEREF _Toc241649763 \h </w:instrText>
            </w:r>
            <w:r>
              <w:rPr>
                <w:noProof/>
              </w:rPr>
            </w:r>
            <w:r>
              <w:rPr>
                <w:noProof/>
              </w:rPr>
              <w:fldChar w:fldCharType="separate"/>
            </w:r>
            <w:r>
              <w:rPr>
                <w:noProof/>
              </w:rPr>
              <w:t>57</w:t>
            </w:r>
            <w:r>
              <w:rPr>
                <w:noProof/>
              </w:rPr>
              <w:fldChar w:fldCharType="end"/>
            </w:r>
          </w:hyperlink>
        </w:p>
        <w:p w14:paraId="010CE7AD" w14:textId="4B15F657"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4" w:history="1">
            <w:r w:rsidRPr="00340E4A">
              <w:rPr>
                <w:rStyle w:val="Hyperlink"/>
                <w:noProof/>
              </w:rPr>
              <w:t>17.5.8 Success Metrics (KPIs)</w:t>
            </w:r>
            <w:r>
              <w:rPr>
                <w:noProof/>
              </w:rPr>
              <w:tab/>
            </w:r>
            <w:r>
              <w:rPr>
                <w:noProof/>
              </w:rPr>
              <w:fldChar w:fldCharType="begin"/>
            </w:r>
            <w:r>
              <w:rPr>
                <w:noProof/>
              </w:rPr>
              <w:instrText xml:space="preserve"> PAGEREF _Toc241649764 \h </w:instrText>
            </w:r>
            <w:r>
              <w:rPr>
                <w:noProof/>
              </w:rPr>
            </w:r>
            <w:r>
              <w:rPr>
                <w:noProof/>
              </w:rPr>
              <w:fldChar w:fldCharType="separate"/>
            </w:r>
            <w:r>
              <w:rPr>
                <w:noProof/>
              </w:rPr>
              <w:t>58</w:t>
            </w:r>
            <w:r>
              <w:rPr>
                <w:noProof/>
              </w:rPr>
              <w:fldChar w:fldCharType="end"/>
            </w:r>
          </w:hyperlink>
        </w:p>
        <w:p w14:paraId="672095A9" w14:textId="005B60DB" w:rsidR="00F168B9" w:rsidRDefault="00F168B9">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5" w:history="1">
            <w:r w:rsidRPr="00340E4A">
              <w:rPr>
                <w:rStyle w:val="Hyperlink"/>
                <w:noProof/>
              </w:rPr>
              <w:t>17.5.9 Sample Business Case Outline</w:t>
            </w:r>
            <w:r>
              <w:rPr>
                <w:noProof/>
              </w:rPr>
              <w:tab/>
            </w:r>
            <w:r>
              <w:rPr>
                <w:noProof/>
              </w:rPr>
              <w:fldChar w:fldCharType="begin"/>
            </w:r>
            <w:r>
              <w:rPr>
                <w:noProof/>
              </w:rPr>
              <w:instrText xml:space="preserve"> PAGEREF _Toc241649765 \h </w:instrText>
            </w:r>
            <w:r>
              <w:rPr>
                <w:noProof/>
              </w:rPr>
            </w:r>
            <w:r>
              <w:rPr>
                <w:noProof/>
              </w:rPr>
              <w:fldChar w:fldCharType="separate"/>
            </w:r>
            <w:r>
              <w:rPr>
                <w:noProof/>
              </w:rPr>
              <w:t>58</w:t>
            </w:r>
            <w:r>
              <w:rPr>
                <w:noProof/>
              </w:rPr>
              <w:fldChar w:fldCharType="end"/>
            </w:r>
          </w:hyperlink>
        </w:p>
        <w:p w14:paraId="681A6EFA" w14:textId="1BB167E6"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6" w:history="1">
            <w:r w:rsidRPr="00340E4A">
              <w:rPr>
                <w:rStyle w:val="Hyperlink"/>
                <w:noProof/>
              </w:rPr>
              <w:t>18. First 90 Days: Implementation Roadmap</w:t>
            </w:r>
            <w:r>
              <w:rPr>
                <w:noProof/>
              </w:rPr>
              <w:tab/>
            </w:r>
            <w:r>
              <w:rPr>
                <w:noProof/>
              </w:rPr>
              <w:fldChar w:fldCharType="begin"/>
            </w:r>
            <w:r>
              <w:rPr>
                <w:noProof/>
              </w:rPr>
              <w:instrText xml:space="preserve"> PAGEREF _Toc241649766 \h </w:instrText>
            </w:r>
            <w:r>
              <w:rPr>
                <w:noProof/>
              </w:rPr>
            </w:r>
            <w:r>
              <w:rPr>
                <w:noProof/>
              </w:rPr>
              <w:fldChar w:fldCharType="separate"/>
            </w:r>
            <w:r>
              <w:rPr>
                <w:noProof/>
              </w:rPr>
              <w:t>59</w:t>
            </w:r>
            <w:r>
              <w:rPr>
                <w:noProof/>
              </w:rPr>
              <w:fldChar w:fldCharType="end"/>
            </w:r>
          </w:hyperlink>
        </w:p>
        <w:p w14:paraId="5920586B" w14:textId="1000B361"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7" w:history="1">
            <w:r w:rsidRPr="00340E4A">
              <w:rPr>
                <w:rStyle w:val="Hyperlink"/>
                <w:noProof/>
              </w:rPr>
              <w:t>18.1 Exit Criteria for Day 90</w:t>
            </w:r>
            <w:r>
              <w:rPr>
                <w:noProof/>
              </w:rPr>
              <w:tab/>
            </w:r>
            <w:r>
              <w:rPr>
                <w:noProof/>
              </w:rPr>
              <w:fldChar w:fldCharType="begin"/>
            </w:r>
            <w:r>
              <w:rPr>
                <w:noProof/>
              </w:rPr>
              <w:instrText xml:space="preserve"> PAGEREF _Toc241649767 \h </w:instrText>
            </w:r>
            <w:r>
              <w:rPr>
                <w:noProof/>
              </w:rPr>
            </w:r>
            <w:r>
              <w:rPr>
                <w:noProof/>
              </w:rPr>
              <w:fldChar w:fldCharType="separate"/>
            </w:r>
            <w:r>
              <w:rPr>
                <w:noProof/>
              </w:rPr>
              <w:t>59</w:t>
            </w:r>
            <w:r>
              <w:rPr>
                <w:noProof/>
              </w:rPr>
              <w:fldChar w:fldCharType="end"/>
            </w:r>
          </w:hyperlink>
        </w:p>
        <w:p w14:paraId="48ECD46A" w14:textId="1F66A3A4"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8" w:history="1">
            <w:r w:rsidRPr="00340E4A">
              <w:rPr>
                <w:rStyle w:val="Hyperlink"/>
                <w:noProof/>
              </w:rPr>
              <w:t>18.2 Days 1–30: Governance, Security, and Foundation</w:t>
            </w:r>
            <w:r>
              <w:rPr>
                <w:noProof/>
              </w:rPr>
              <w:tab/>
            </w:r>
            <w:r>
              <w:rPr>
                <w:noProof/>
              </w:rPr>
              <w:fldChar w:fldCharType="begin"/>
            </w:r>
            <w:r>
              <w:rPr>
                <w:noProof/>
              </w:rPr>
              <w:instrText xml:space="preserve"> PAGEREF _Toc241649768 \h </w:instrText>
            </w:r>
            <w:r>
              <w:rPr>
                <w:noProof/>
              </w:rPr>
            </w:r>
            <w:r>
              <w:rPr>
                <w:noProof/>
              </w:rPr>
              <w:fldChar w:fldCharType="separate"/>
            </w:r>
            <w:r>
              <w:rPr>
                <w:noProof/>
              </w:rPr>
              <w:t>59</w:t>
            </w:r>
            <w:r>
              <w:rPr>
                <w:noProof/>
              </w:rPr>
              <w:fldChar w:fldCharType="end"/>
            </w:r>
          </w:hyperlink>
        </w:p>
        <w:p w14:paraId="409DD4A7" w14:textId="0B2D6F78"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9" w:history="1">
            <w:r w:rsidRPr="00340E4A">
              <w:rPr>
                <w:rStyle w:val="Hyperlink"/>
                <w:noProof/>
              </w:rPr>
              <w:t>18.3 Days 31–60: Platform Build-Out and Pilot Readiness</w:t>
            </w:r>
            <w:r>
              <w:rPr>
                <w:noProof/>
              </w:rPr>
              <w:tab/>
            </w:r>
            <w:r>
              <w:rPr>
                <w:noProof/>
              </w:rPr>
              <w:fldChar w:fldCharType="begin"/>
            </w:r>
            <w:r>
              <w:rPr>
                <w:noProof/>
              </w:rPr>
              <w:instrText xml:space="preserve"> PAGEREF _Toc241649769 \h </w:instrText>
            </w:r>
            <w:r>
              <w:rPr>
                <w:noProof/>
              </w:rPr>
            </w:r>
            <w:r>
              <w:rPr>
                <w:noProof/>
              </w:rPr>
              <w:fldChar w:fldCharType="separate"/>
            </w:r>
            <w:r>
              <w:rPr>
                <w:noProof/>
              </w:rPr>
              <w:t>60</w:t>
            </w:r>
            <w:r>
              <w:rPr>
                <w:noProof/>
              </w:rPr>
              <w:fldChar w:fldCharType="end"/>
            </w:r>
          </w:hyperlink>
        </w:p>
        <w:p w14:paraId="01F3E4F6" w14:textId="254FC3E7"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0" w:history="1">
            <w:r w:rsidRPr="00340E4A">
              <w:rPr>
                <w:rStyle w:val="Hyperlink"/>
                <w:noProof/>
              </w:rPr>
              <w:t>18.4 Days 61–90: Controlled Pilot Launch and Standing Cadence</w:t>
            </w:r>
            <w:r>
              <w:rPr>
                <w:noProof/>
              </w:rPr>
              <w:tab/>
            </w:r>
            <w:r>
              <w:rPr>
                <w:noProof/>
              </w:rPr>
              <w:fldChar w:fldCharType="begin"/>
            </w:r>
            <w:r>
              <w:rPr>
                <w:noProof/>
              </w:rPr>
              <w:instrText xml:space="preserve"> PAGEREF _Toc241649770 \h </w:instrText>
            </w:r>
            <w:r>
              <w:rPr>
                <w:noProof/>
              </w:rPr>
            </w:r>
            <w:r>
              <w:rPr>
                <w:noProof/>
              </w:rPr>
              <w:fldChar w:fldCharType="separate"/>
            </w:r>
            <w:r>
              <w:rPr>
                <w:noProof/>
              </w:rPr>
              <w:t>61</w:t>
            </w:r>
            <w:r>
              <w:rPr>
                <w:noProof/>
              </w:rPr>
              <w:fldChar w:fldCharType="end"/>
            </w:r>
          </w:hyperlink>
        </w:p>
        <w:p w14:paraId="04A36020" w14:textId="31058D08"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1" w:history="1">
            <w:r w:rsidRPr="00340E4A">
              <w:rPr>
                <w:rStyle w:val="Hyperlink"/>
                <w:noProof/>
              </w:rPr>
              <w:t>18.5 Ownership Summary</w:t>
            </w:r>
            <w:r>
              <w:rPr>
                <w:noProof/>
              </w:rPr>
              <w:tab/>
            </w:r>
            <w:r>
              <w:rPr>
                <w:noProof/>
              </w:rPr>
              <w:fldChar w:fldCharType="begin"/>
            </w:r>
            <w:r>
              <w:rPr>
                <w:noProof/>
              </w:rPr>
              <w:instrText xml:space="preserve"> PAGEREF _Toc241649771 \h </w:instrText>
            </w:r>
            <w:r>
              <w:rPr>
                <w:noProof/>
              </w:rPr>
            </w:r>
            <w:r>
              <w:rPr>
                <w:noProof/>
              </w:rPr>
              <w:fldChar w:fldCharType="separate"/>
            </w:r>
            <w:r>
              <w:rPr>
                <w:noProof/>
              </w:rPr>
              <w:t>62</w:t>
            </w:r>
            <w:r>
              <w:rPr>
                <w:noProof/>
              </w:rPr>
              <w:fldChar w:fldCharType="end"/>
            </w:r>
          </w:hyperlink>
        </w:p>
        <w:p w14:paraId="0AAB6C4B" w14:textId="4C9DA62C"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2" w:history="1">
            <w:r w:rsidRPr="00340E4A">
              <w:rPr>
                <w:rStyle w:val="Hyperlink"/>
                <w:noProof/>
              </w:rPr>
              <w:t>18.6 Risks to the Plan and Mitigations</w:t>
            </w:r>
            <w:r>
              <w:rPr>
                <w:noProof/>
              </w:rPr>
              <w:tab/>
            </w:r>
            <w:r>
              <w:rPr>
                <w:noProof/>
              </w:rPr>
              <w:fldChar w:fldCharType="begin"/>
            </w:r>
            <w:r>
              <w:rPr>
                <w:noProof/>
              </w:rPr>
              <w:instrText xml:space="preserve"> PAGEREF _Toc241649772 \h </w:instrText>
            </w:r>
            <w:r>
              <w:rPr>
                <w:noProof/>
              </w:rPr>
            </w:r>
            <w:r>
              <w:rPr>
                <w:noProof/>
              </w:rPr>
              <w:fldChar w:fldCharType="separate"/>
            </w:r>
            <w:r>
              <w:rPr>
                <w:noProof/>
              </w:rPr>
              <w:t>62</w:t>
            </w:r>
            <w:r>
              <w:rPr>
                <w:noProof/>
              </w:rPr>
              <w:fldChar w:fldCharType="end"/>
            </w:r>
          </w:hyperlink>
        </w:p>
        <w:p w14:paraId="6D663A59" w14:textId="38D39946" w:rsidR="00F168B9" w:rsidRDefault="00F168B9">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73" w:history="1">
            <w:r w:rsidRPr="00340E4A">
              <w:rPr>
                <w:rStyle w:val="Hyperlink"/>
                <w:noProof/>
              </w:rPr>
              <w:t>19. Appendices</w:t>
            </w:r>
            <w:r>
              <w:rPr>
                <w:noProof/>
              </w:rPr>
              <w:tab/>
            </w:r>
            <w:r>
              <w:rPr>
                <w:noProof/>
              </w:rPr>
              <w:fldChar w:fldCharType="begin"/>
            </w:r>
            <w:r>
              <w:rPr>
                <w:noProof/>
              </w:rPr>
              <w:instrText xml:space="preserve"> PAGEREF _Toc241649773 \h </w:instrText>
            </w:r>
            <w:r>
              <w:rPr>
                <w:noProof/>
              </w:rPr>
            </w:r>
            <w:r>
              <w:rPr>
                <w:noProof/>
              </w:rPr>
              <w:fldChar w:fldCharType="separate"/>
            </w:r>
            <w:r>
              <w:rPr>
                <w:noProof/>
              </w:rPr>
              <w:t>63</w:t>
            </w:r>
            <w:r>
              <w:rPr>
                <w:noProof/>
              </w:rPr>
              <w:fldChar w:fldCharType="end"/>
            </w:r>
          </w:hyperlink>
        </w:p>
        <w:p w14:paraId="05D9535D" w14:textId="662C6964"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4" w:history="1">
            <w:r w:rsidRPr="00340E4A">
              <w:rPr>
                <w:rStyle w:val="Hyperlink"/>
                <w:noProof/>
              </w:rPr>
              <w:t>Appendix A: Glossary</w:t>
            </w:r>
            <w:r>
              <w:rPr>
                <w:noProof/>
              </w:rPr>
              <w:tab/>
            </w:r>
            <w:r>
              <w:rPr>
                <w:noProof/>
              </w:rPr>
              <w:fldChar w:fldCharType="begin"/>
            </w:r>
            <w:r>
              <w:rPr>
                <w:noProof/>
              </w:rPr>
              <w:instrText xml:space="preserve"> PAGEREF _Toc241649774 \h </w:instrText>
            </w:r>
            <w:r>
              <w:rPr>
                <w:noProof/>
              </w:rPr>
            </w:r>
            <w:r>
              <w:rPr>
                <w:noProof/>
              </w:rPr>
              <w:fldChar w:fldCharType="separate"/>
            </w:r>
            <w:r>
              <w:rPr>
                <w:noProof/>
              </w:rPr>
              <w:t>63</w:t>
            </w:r>
            <w:r>
              <w:rPr>
                <w:noProof/>
              </w:rPr>
              <w:fldChar w:fldCharType="end"/>
            </w:r>
          </w:hyperlink>
        </w:p>
        <w:p w14:paraId="7D5FBA13" w14:textId="744279A5" w:rsidR="00F168B9" w:rsidRDefault="00F168B9">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5" w:history="1">
            <w:r w:rsidRPr="00340E4A">
              <w:rPr>
                <w:rStyle w:val="Hyperlink"/>
                <w:noProof/>
              </w:rPr>
              <w:t>Appendix B: Document Control</w:t>
            </w:r>
            <w:r>
              <w:rPr>
                <w:noProof/>
              </w:rPr>
              <w:tab/>
            </w:r>
            <w:r>
              <w:rPr>
                <w:noProof/>
              </w:rPr>
              <w:fldChar w:fldCharType="begin"/>
            </w:r>
            <w:r>
              <w:rPr>
                <w:noProof/>
              </w:rPr>
              <w:instrText xml:space="preserve"> PAGEREF _Toc241649775 \h </w:instrText>
            </w:r>
            <w:r>
              <w:rPr>
                <w:noProof/>
              </w:rPr>
            </w:r>
            <w:r>
              <w:rPr>
                <w:noProof/>
              </w:rPr>
              <w:fldChar w:fldCharType="separate"/>
            </w:r>
            <w:r>
              <w:rPr>
                <w:noProof/>
              </w:rPr>
              <w:t>63</w:t>
            </w:r>
            <w:r>
              <w:rPr>
                <w:noProof/>
              </w:rPr>
              <w:fldChar w:fldCharType="end"/>
            </w:r>
          </w:hyperlink>
        </w:p>
        <w:p w14:paraId="3E961837" w14:textId="5C7259F2" w:rsidR="007355C5" w:rsidRDefault="00AC17C1">
          <w:r>
            <w:fldChar w:fldCharType="end"/>
          </w:r>
        </w:p>
      </w:sdtContent>
    </w:sdt>
    <w:p w14:paraId="1F2BD79D" w14:textId="77777777" w:rsidR="007355C5" w:rsidRDefault="00AC17C1">
      <w:r>
        <w:br w:type="page"/>
      </w:r>
    </w:p>
    <w:p w14:paraId="6FFB6F82" w14:textId="77777777" w:rsidR="007355C5" w:rsidRDefault="00AC17C1">
      <w:pPr>
        <w:pStyle w:val="Heading1"/>
      </w:pPr>
      <w:bookmarkStart w:id="1" w:name="_Toc241649663"/>
      <w:r>
        <w:lastRenderedPageBreak/>
        <w:t>1. Purpose and How to Use This Document</w:t>
      </w:r>
      <w:bookmarkEnd w:id="1"/>
    </w:p>
    <w:p w14:paraId="1BF1C763" w14:textId="77777777" w:rsidR="007355C5" w:rsidRDefault="00AC17C1">
      <w:pPr>
        <w:spacing w:after="160"/>
      </w:pPr>
      <w:r>
        <w:t>This playbook is a master reference for how a bank should evaluate, govern, and deploy artificial intelligence (AI), including generative AI and agentic AI, across its business. It is written to be generic and adaptable — usable by any retail, commercial, or universal bank — rather than specific to a single institution. Wherever a concrete platform reference is useful, this playbook standardizes on Microsoft Azure and the Azure AI portfolio (Azure AI Foundry, Azure OpenAI Service, Azure Machine Learning, Mi</w:t>
      </w:r>
      <w:r>
        <w:t>crosoft Fabric, Microsoft Purview, and Microsoft Entra ID) as the reference cloud and AI platform, since these are the services most banks adopting Microsoft's ecosystem will build on.</w:t>
      </w:r>
    </w:p>
    <w:p w14:paraId="257AEFDE" w14:textId="77777777" w:rsidR="007355C5" w:rsidRDefault="00AC17C1">
      <w:pPr>
        <w:spacing w:after="160"/>
      </w:pPr>
      <w:r>
        <w:t>The document is organized as a living framework. Sections marked with a placeholder are intentionally left open for the institution to complete with its own policies, risk appetite, org charts, vendor lists, and metrics. As the AI program matures, this document should be revisited, versioned, and expanded.</w:t>
      </w:r>
    </w:p>
    <w:p w14:paraId="7850D563" w14:textId="77777777" w:rsidR="007355C5" w:rsidRDefault="00AC17C1">
      <w:pPr>
        <w:pStyle w:val="ListParagraph"/>
        <w:numPr>
          <w:ilvl w:val="0"/>
          <w:numId w:val="2"/>
        </w:numPr>
        <w:spacing w:after="80"/>
      </w:pPr>
      <w:r>
        <w:rPr>
          <w:b/>
          <w:bCs/>
        </w:rPr>
        <w:t xml:space="preserve">Audience: </w:t>
      </w:r>
      <w:r>
        <w:t>Chief AI Officer, CIO/CTO, Chief Risk Officer, Chief Compliance Officer, business line leaders, model risk management, data/AI engineering teams, legal, and the board risk committee.</w:t>
      </w:r>
    </w:p>
    <w:p w14:paraId="50172A94" w14:textId="77777777" w:rsidR="007355C5" w:rsidRDefault="00AC17C1">
      <w:pPr>
        <w:pStyle w:val="ListParagraph"/>
        <w:numPr>
          <w:ilvl w:val="0"/>
          <w:numId w:val="2"/>
        </w:numPr>
        <w:spacing w:after="80"/>
      </w:pPr>
      <w:r>
        <w:rPr>
          <w:b/>
          <w:bCs/>
        </w:rPr>
        <w:t xml:space="preserve">How to use it: </w:t>
      </w:r>
      <w:r>
        <w:t>Start with the strategy and department prioritization sections to align stakeholders, then use the deployment, governance, and security sections as working checklists for each new AI initiative, mapping each control to the corresponding Azure service where applicable.</w:t>
      </w:r>
    </w:p>
    <w:p w14:paraId="23C95419" w14:textId="77777777" w:rsidR="007355C5" w:rsidRDefault="00AC17C1">
      <w:pPr>
        <w:pBdr>
          <w:left w:val="single" w:sz="12" w:space="8" w:color="B00020"/>
        </w:pBdr>
        <w:spacing w:before="80" w:after="200"/>
        <w:ind w:left="200"/>
      </w:pPr>
      <w:r>
        <w:rPr>
          <w:i/>
          <w:iCs/>
          <w:color w:val="B00020"/>
        </w:rPr>
        <w:t>[PLACEHOLDER — Institution name, sponsors, review cadence (e.g., quarterly), and version history table]</w:t>
      </w:r>
    </w:p>
    <w:p w14:paraId="7DABFEDF" w14:textId="77777777" w:rsidR="007355C5" w:rsidRDefault="00AC17C1">
      <w:pPr>
        <w:pStyle w:val="Heading1"/>
      </w:pPr>
      <w:bookmarkStart w:id="2" w:name="_Toc241649664"/>
      <w:r>
        <w:t>2. Executive Summary</w:t>
      </w:r>
      <w:bookmarkEnd w:id="2"/>
    </w:p>
    <w:p w14:paraId="4A5DAF44" w14:textId="77777777" w:rsidR="007355C5" w:rsidRDefault="00AC17C1">
      <w:pPr>
        <w:pStyle w:val="Heading2"/>
      </w:pPr>
      <w:bookmarkStart w:id="3" w:name="_Toc241649665"/>
      <w:r>
        <w:t>2.1 Purpose of This Document</w:t>
      </w:r>
      <w:bookmarkEnd w:id="3"/>
    </w:p>
    <w:p w14:paraId="0719A018" w14:textId="77777777" w:rsidR="007355C5" w:rsidRDefault="00AC17C1">
      <w:pPr>
        <w:spacing w:after="160"/>
      </w:pPr>
      <w:r>
        <w:t>This playbook exists to give the bank's leadership, risk, technology, and business teams a single, shared reference for how the institution will pursue artificial intelligence — what problems it will solve first, how initiatives will be evaluated and approved, and what non-negotiable controls must be in place before any AI system touches customer data, customer decisions, or bank capital. It translates the Chief AI Officer's mandate into a concrete operating framework that other executives, auditors, and re</w:t>
      </w:r>
      <w:r>
        <w:t>gulators can read, question, and hold the bank accountable to.</w:t>
      </w:r>
    </w:p>
    <w:p w14:paraId="7D1F6AC4" w14:textId="77777777" w:rsidR="007355C5" w:rsidRDefault="00AC17C1">
      <w:pPr>
        <w:spacing w:after="160"/>
      </w:pPr>
      <w:r>
        <w:t>Because this bank is standardizing its cloud and AI investments on Microsoft Azure, the playbook is written to be Azure- and Azure AI-specific wherever a concrete recommendation is helpful — referencing services such as Azure AI Foundry, Azure OpenAI Service, Azure Machine Learning, Microsoft Fabric, Microsoft Purview, Microsoft Defender for Cloud, and Microsoft Entra ID — while remaining structured so the underlying principles (governance, security, risk tiering, human oversight) would still hold if the in</w:t>
      </w:r>
      <w:r>
        <w:t>stitution later adopts additional platforms.</w:t>
      </w:r>
    </w:p>
    <w:p w14:paraId="394FEE4B" w14:textId="77777777" w:rsidR="007355C5" w:rsidRDefault="00AC17C1">
      <w:pPr>
        <w:pStyle w:val="Heading2"/>
      </w:pPr>
      <w:bookmarkStart w:id="4" w:name="_Toc241649666"/>
      <w:r>
        <w:t>2.2 Goals of the Playbook</w:t>
      </w:r>
      <w:bookmarkEnd w:id="4"/>
    </w:p>
    <w:p w14:paraId="4A758E49" w14:textId="77777777" w:rsidR="007355C5" w:rsidRDefault="00AC17C1">
      <w:pPr>
        <w:pStyle w:val="ListParagraph"/>
        <w:numPr>
          <w:ilvl w:val="0"/>
          <w:numId w:val="2"/>
        </w:numPr>
        <w:spacing w:after="80"/>
      </w:pPr>
      <w:r>
        <w:rPr>
          <w:b/>
          <w:bCs/>
        </w:rPr>
        <w:lastRenderedPageBreak/>
        <w:t xml:space="preserve">Provide a common language and framework </w:t>
      </w:r>
      <w:r>
        <w:t>so that business, technology, risk, compliance, and audit all evaluate AI initiatives against the same criteria, rather than each function inventing its own process.</w:t>
      </w:r>
    </w:p>
    <w:p w14:paraId="1AE05499" w14:textId="77777777" w:rsidR="007355C5" w:rsidRDefault="00AC17C1">
      <w:pPr>
        <w:pStyle w:val="ListParagraph"/>
        <w:numPr>
          <w:ilvl w:val="0"/>
          <w:numId w:val="2"/>
        </w:numPr>
        <w:spacing w:after="80"/>
      </w:pPr>
      <w:r>
        <w:rPr>
          <w:b/>
          <w:bCs/>
        </w:rPr>
        <w:t xml:space="preserve">Accelerate value delivery </w:t>
      </w:r>
      <w:r>
        <w:t>by identifying, up front, the departments and use cases with the strongest near-term return, and by defining a repeatable, Azure-based deployment pattern so teams are not rebuilding infrastructure and controls for every new use case.</w:t>
      </w:r>
    </w:p>
    <w:p w14:paraId="2B1A2F66" w14:textId="77777777" w:rsidR="007355C5" w:rsidRDefault="00AC17C1">
      <w:pPr>
        <w:pStyle w:val="ListParagraph"/>
        <w:numPr>
          <w:ilvl w:val="0"/>
          <w:numId w:val="2"/>
        </w:numPr>
        <w:spacing w:after="80"/>
      </w:pPr>
      <w:r>
        <w:rPr>
          <w:b/>
          <w:bCs/>
        </w:rPr>
        <w:t xml:space="preserve">Embed control by design, not as an afterthought </w:t>
      </w:r>
      <w:r>
        <w:t>so that security, model risk management, identity and access management, privacy, and regulatory compliance are addressed at the same time a use case is scoped — not retrofitted after a model is already in production.</w:t>
      </w:r>
    </w:p>
    <w:p w14:paraId="26993047" w14:textId="77777777" w:rsidR="007355C5" w:rsidRDefault="00AC17C1">
      <w:pPr>
        <w:pStyle w:val="ListParagraph"/>
        <w:numPr>
          <w:ilvl w:val="0"/>
          <w:numId w:val="2"/>
        </w:numPr>
        <w:spacing w:after="80"/>
      </w:pPr>
      <w:r>
        <w:rPr>
          <w:b/>
          <w:bCs/>
        </w:rPr>
        <w:t xml:space="preserve">Establish clear accountability </w:t>
      </w:r>
      <w:r>
        <w:t>for every AI system in production, from the business owner and model owner through to the AI Governance Council and the board risk committee.</w:t>
      </w:r>
    </w:p>
    <w:p w14:paraId="5DDDCD90" w14:textId="77777777" w:rsidR="007355C5" w:rsidRDefault="00AC17C1">
      <w:pPr>
        <w:pStyle w:val="ListParagraph"/>
        <w:numPr>
          <w:ilvl w:val="0"/>
          <w:numId w:val="2"/>
        </w:numPr>
        <w:spacing w:after="80"/>
      </w:pPr>
      <w:r>
        <w:rPr>
          <w:b/>
          <w:bCs/>
        </w:rPr>
        <w:t xml:space="preserve">Create a durable, versioned reference </w:t>
      </w:r>
      <w:r>
        <w:t>that grows with the institution's AI maturity, so lessons learned, new regulations, and new Azure AI capabilities are incorporated over time rather than lost across disconnected slide decks and one-off memos.</w:t>
      </w:r>
    </w:p>
    <w:p w14:paraId="2123E8E1" w14:textId="77777777" w:rsidR="007355C5" w:rsidRDefault="00AC17C1">
      <w:pPr>
        <w:pStyle w:val="Heading2"/>
      </w:pPr>
      <w:bookmarkStart w:id="5" w:name="_Toc241649667"/>
      <w:r>
        <w:t>2.3 Why Every Bank Needs a Solid AI Playbook</w:t>
      </w:r>
      <w:bookmarkEnd w:id="5"/>
    </w:p>
    <w:p w14:paraId="79A9B1DD" w14:textId="77777777" w:rsidR="007355C5" w:rsidRDefault="00AC17C1">
      <w:pPr>
        <w:spacing w:after="160"/>
      </w:pPr>
      <w:r>
        <w:t>Banks are simultaneously among the organizations with the most to gain from AI and among those facing the highest consequences from getting it wrong. A deliberate, written playbook — rather than ad hoc, department-by-department experimentation — matters for several concrete reasons:</w:t>
      </w:r>
    </w:p>
    <w:p w14:paraId="7E1958FA" w14:textId="77777777" w:rsidR="007355C5" w:rsidRDefault="00AC17C1">
      <w:pPr>
        <w:pStyle w:val="ListParagraph"/>
        <w:numPr>
          <w:ilvl w:val="0"/>
          <w:numId w:val="2"/>
        </w:numPr>
        <w:spacing w:after="80"/>
      </w:pPr>
      <w:r>
        <w:rPr>
          <w:b/>
          <w:bCs/>
        </w:rPr>
        <w:t xml:space="preserve">Regulatory exposure is high and shifting: </w:t>
      </w:r>
      <w:r>
        <w:t>prudential regulators, privacy regulators, and consumer protection authorities are actively rewriting how model risk management and fair-lending expectations apply to machine learning and generative AI (see Section 10); a documented framework is the primary evidence a bank can show an examiner that AI is being managed responsibly, and the fastest way to adapt when the rules change again.</w:t>
      </w:r>
    </w:p>
    <w:p w14:paraId="2D776C07" w14:textId="77777777" w:rsidR="007355C5" w:rsidRDefault="00AC17C1">
      <w:pPr>
        <w:pStyle w:val="ListParagraph"/>
        <w:numPr>
          <w:ilvl w:val="0"/>
          <w:numId w:val="2"/>
        </w:numPr>
        <w:spacing w:after="80"/>
      </w:pPr>
      <w:r>
        <w:rPr>
          <w:b/>
          <w:bCs/>
        </w:rPr>
        <w:t xml:space="preserve">The financial and reputational stakes are asymmetric: </w:t>
      </w:r>
      <w:r>
        <w:t>a single biased credit model, leaked customer data, or unsupervised agent taking an incorrect action can erase years of efficiency gains in reputational damage, remediation costs, and regulatory or litigation exposure — the upside of AI adoption must be captured without taking on unbounded downside risk.</w:t>
      </w:r>
    </w:p>
    <w:p w14:paraId="59781019" w14:textId="77777777" w:rsidR="007355C5" w:rsidRDefault="00AC17C1">
      <w:pPr>
        <w:pStyle w:val="ListParagraph"/>
        <w:numPr>
          <w:ilvl w:val="0"/>
          <w:numId w:val="2"/>
        </w:numPr>
        <w:spacing w:after="80"/>
      </w:pPr>
      <w:r>
        <w:rPr>
          <w:b/>
          <w:bCs/>
        </w:rPr>
        <w:t xml:space="preserve">Uncoordinated adoption creates shadow AI risk: </w:t>
      </w:r>
      <w:r>
        <w:t>without a shared playbook, individual teams will independently adopt AI tools and vendors, creating inconsistent controls, duplicated infrastructure spend, and blind spots in the bank's model inventory that neither risk nor security can see or manage.</w:t>
      </w:r>
    </w:p>
    <w:p w14:paraId="6E0E7AD4" w14:textId="77777777" w:rsidR="007355C5" w:rsidRDefault="00AC17C1">
      <w:pPr>
        <w:pStyle w:val="ListParagraph"/>
        <w:numPr>
          <w:ilvl w:val="0"/>
          <w:numId w:val="2"/>
        </w:numPr>
        <w:spacing w:after="80"/>
      </w:pPr>
      <w:r>
        <w:rPr>
          <w:b/>
          <w:bCs/>
        </w:rPr>
        <w:t xml:space="preserve">AI capability and regulation are both moving faster than most banks' governance processes: </w:t>
      </w:r>
      <w:r>
        <w:t>generative and agentic AI change what is technically possible (and what can go wrong) every few months, and regulators are actively rewriting the rulebook alongside it; a living playbook with a clear owner and review cadence lets the bank update its guardrails at the same pace as the technology and the law, rather than governance permanently lagging both.</w:t>
      </w:r>
    </w:p>
    <w:p w14:paraId="3C8AF87F" w14:textId="77777777" w:rsidR="007355C5" w:rsidRDefault="00AC17C1">
      <w:pPr>
        <w:pStyle w:val="ListParagraph"/>
        <w:numPr>
          <w:ilvl w:val="0"/>
          <w:numId w:val="2"/>
        </w:numPr>
        <w:spacing w:after="80"/>
      </w:pPr>
      <w:r>
        <w:rPr>
          <w:b/>
          <w:bCs/>
        </w:rPr>
        <w:t xml:space="preserve">A platform-specific playbook shortens time-to-value: </w:t>
      </w:r>
      <w:r>
        <w:t xml:space="preserve">by standardizing on Azure and Azure AI up front — including identity (Microsoft Entra ID), data governance (Microsoft Purview), and model hosting (Azure AI Foundry/Azure OpenAI Service) — new use </w:t>
      </w:r>
      <w:r>
        <w:lastRenderedPageBreak/>
        <w:t>cases can reuse a proven, pre-approved pattern instead of re-litigating architecture and security decisions every time, which materially shortens time-to-production.</w:t>
      </w:r>
    </w:p>
    <w:p w14:paraId="3A6C061D" w14:textId="77777777" w:rsidR="007355C5" w:rsidRDefault="00AC17C1">
      <w:pPr>
        <w:pStyle w:val="ListParagraph"/>
        <w:numPr>
          <w:ilvl w:val="0"/>
          <w:numId w:val="2"/>
        </w:numPr>
        <w:spacing w:after="80"/>
      </w:pPr>
      <w:r>
        <w:rPr>
          <w:b/>
          <w:bCs/>
        </w:rPr>
        <w:t xml:space="preserve">It builds and protects trust: </w:t>
      </w:r>
      <w:r>
        <w:t>customers, employees, regulators, and the board all need confidence that AI is used fairly, transparently, and safely; a well-communicated playbook is how that trust is earned and demonstrated, not just assumed.</w:t>
      </w:r>
    </w:p>
    <w:p w14:paraId="5D33688A" w14:textId="77777777" w:rsidR="007355C5" w:rsidRDefault="00AC17C1">
      <w:pPr>
        <w:pStyle w:val="Heading2"/>
      </w:pPr>
      <w:bookmarkStart w:id="6" w:name="_Toc241649668"/>
      <w:r>
        <w:t>2.4 What Success Looks Like</w:t>
      </w:r>
      <w:bookmarkEnd w:id="6"/>
    </w:p>
    <w:p w14:paraId="183E6674" w14:textId="77777777" w:rsidR="007355C5" w:rsidRDefault="00AC17C1">
      <w:pPr>
        <w:spacing w:after="160"/>
      </w:pPr>
      <w:r>
        <w:t>Within this framework, success is a bank that can point to a small number of well-governed, high-value AI use cases in production on Azure; a single model inventory and governance council with real decision authority; consistent identity, security, and privacy controls applied to every use case regardless of business line; and a clear, repeatable path for taking the next idea from business case to production. The remainder of this document covers: the topics every bank AI program must address; the five busi</w:t>
      </w:r>
      <w:r>
        <w:t>ness/functional areas with the greatest near-term AI benefit; a phased, Azure-based deployment approach; the cross-cutting requirements — security, governance, model risk, and identity/access management — that must be embedded into every use case; and the regulatory landscape in the bank's operating jurisdictions.</w:t>
      </w:r>
    </w:p>
    <w:p w14:paraId="2CED2E55" w14:textId="77777777" w:rsidR="007355C5" w:rsidRDefault="00AC17C1">
      <w:r>
        <w:br w:type="page"/>
      </w:r>
    </w:p>
    <w:p w14:paraId="22174394" w14:textId="77777777" w:rsidR="007355C5" w:rsidRDefault="00AC17C1">
      <w:pPr>
        <w:pStyle w:val="Heading1"/>
      </w:pPr>
      <w:bookmarkStart w:id="7" w:name="_Toc241649669"/>
      <w:r>
        <w:lastRenderedPageBreak/>
        <w:t>3. Master Topic List for the AI Playbook</w:t>
      </w:r>
      <w:bookmarkEnd w:id="7"/>
    </w:p>
    <w:p w14:paraId="7188504A" w14:textId="77777777" w:rsidR="007355C5" w:rsidRDefault="00AC17C1">
      <w:pPr>
        <w:spacing w:after="160"/>
      </w:pPr>
      <w:r>
        <w:t>The following is the master list of topics this playbook covers or will cover. Each maps to a section below; items not yet fully written are marked as placeholders for future contribution.</w:t>
      </w:r>
    </w:p>
    <w:p w14:paraId="157D2AAF" w14:textId="77777777" w:rsidR="007355C5" w:rsidRDefault="00AC17C1">
      <w:pPr>
        <w:pStyle w:val="Heading2"/>
      </w:pPr>
      <w:bookmarkStart w:id="8" w:name="_Toc241649670"/>
      <w:r>
        <w:t>3.1 Strategy &amp; Business</w:t>
      </w:r>
      <w:bookmarkEnd w:id="8"/>
    </w:p>
    <w:p w14:paraId="7DDB4287" w14:textId="77777777" w:rsidR="007355C5" w:rsidRDefault="00AC17C1">
      <w:pPr>
        <w:pStyle w:val="ListParagraph"/>
        <w:numPr>
          <w:ilvl w:val="0"/>
          <w:numId w:val="2"/>
        </w:numPr>
        <w:spacing w:after="80"/>
      </w:pPr>
      <w:r>
        <w:t>AI vision, strategic objectives, and value proposition</w:t>
      </w:r>
    </w:p>
    <w:p w14:paraId="5F9435C5" w14:textId="77777777" w:rsidR="007355C5" w:rsidRDefault="00AC17C1">
      <w:pPr>
        <w:pStyle w:val="ListParagraph"/>
        <w:numPr>
          <w:ilvl w:val="0"/>
          <w:numId w:val="2"/>
        </w:numPr>
        <w:spacing w:after="80"/>
      </w:pPr>
      <w:r>
        <w:t>Prioritized departments/business lines and use case portfolio</w:t>
      </w:r>
    </w:p>
    <w:p w14:paraId="53DFA2CD" w14:textId="77777777" w:rsidR="007355C5" w:rsidRDefault="00AC17C1">
      <w:pPr>
        <w:pStyle w:val="ListParagraph"/>
        <w:numPr>
          <w:ilvl w:val="0"/>
          <w:numId w:val="2"/>
        </w:numPr>
        <w:spacing w:after="80"/>
      </w:pPr>
      <w:r>
        <w:t>Build vs. buy vs. partner decision framework (including Azure-native vs. third-party vs. custom build)</w:t>
      </w:r>
    </w:p>
    <w:p w14:paraId="45758351" w14:textId="77777777" w:rsidR="007355C5" w:rsidRDefault="00AC17C1">
      <w:pPr>
        <w:pStyle w:val="ListParagraph"/>
        <w:numPr>
          <w:ilvl w:val="0"/>
          <w:numId w:val="2"/>
        </w:numPr>
        <w:spacing w:after="80"/>
      </w:pPr>
      <w:r>
        <w:t>Center of Excellence (CoE) vs. federated operating model</w:t>
      </w:r>
    </w:p>
    <w:p w14:paraId="483B8308" w14:textId="77777777" w:rsidR="007355C5" w:rsidRDefault="00AC17C1">
      <w:pPr>
        <w:pStyle w:val="ListParagraph"/>
        <w:numPr>
          <w:ilvl w:val="0"/>
          <w:numId w:val="2"/>
        </w:numPr>
        <w:spacing w:after="80"/>
      </w:pPr>
      <w:r>
        <w:t>Investment case, funding model, and ROI/KPI measurement</w:t>
      </w:r>
    </w:p>
    <w:p w14:paraId="2E1EA41F" w14:textId="77777777" w:rsidR="007355C5" w:rsidRDefault="00AC17C1">
      <w:pPr>
        <w:pStyle w:val="Heading2"/>
      </w:pPr>
      <w:bookmarkStart w:id="9" w:name="_Toc241649671"/>
      <w:r>
        <w:t>3.2 Deployment &amp; Engineering</w:t>
      </w:r>
      <w:bookmarkEnd w:id="9"/>
    </w:p>
    <w:p w14:paraId="688B0769" w14:textId="77777777" w:rsidR="007355C5" w:rsidRDefault="00AC17C1">
      <w:pPr>
        <w:pStyle w:val="ListParagraph"/>
        <w:numPr>
          <w:ilvl w:val="0"/>
          <w:numId w:val="2"/>
        </w:numPr>
        <w:spacing w:after="80"/>
      </w:pPr>
      <w:r>
        <w:t>AI deployment lifecycle and phased roadmap (crawl-walk-run) on Azure</w:t>
      </w:r>
    </w:p>
    <w:p w14:paraId="38A8324B" w14:textId="77777777" w:rsidR="007355C5" w:rsidRDefault="00AC17C1">
      <w:pPr>
        <w:pStyle w:val="ListParagraph"/>
        <w:numPr>
          <w:ilvl w:val="0"/>
          <w:numId w:val="2"/>
        </w:numPr>
        <w:spacing w:after="80"/>
      </w:pPr>
      <w:r>
        <w:t>MLOps/LLMOps on Azure Machine Learning and Azure AI Foundry: model development, CI/CD, versioning, rollback</w:t>
      </w:r>
    </w:p>
    <w:p w14:paraId="279E3759" w14:textId="77777777" w:rsidR="007355C5" w:rsidRDefault="00AC17C1">
      <w:pPr>
        <w:pStyle w:val="ListParagraph"/>
        <w:numPr>
          <w:ilvl w:val="0"/>
          <w:numId w:val="2"/>
        </w:numPr>
        <w:spacing w:after="80"/>
      </w:pPr>
      <w:r>
        <w:t>Data strategy, data quality, and data governance (Microsoft Fabric, Microsoft Purview)</w:t>
      </w:r>
    </w:p>
    <w:p w14:paraId="7BBE0B79" w14:textId="77777777" w:rsidR="007355C5" w:rsidRDefault="00AC17C1">
      <w:pPr>
        <w:pStyle w:val="ListParagraph"/>
        <w:numPr>
          <w:ilvl w:val="0"/>
          <w:numId w:val="2"/>
        </w:numPr>
        <w:spacing w:after="80"/>
      </w:pPr>
      <w:r>
        <w:t>Infrastructure: Azure landing zones, regions/data residency, and GPU/compute strategy</w:t>
      </w:r>
    </w:p>
    <w:p w14:paraId="44CB1F5C" w14:textId="77777777" w:rsidR="007355C5" w:rsidRDefault="00AC17C1">
      <w:pPr>
        <w:pStyle w:val="ListParagraph"/>
        <w:numPr>
          <w:ilvl w:val="0"/>
          <w:numId w:val="2"/>
        </w:numPr>
        <w:spacing w:after="80"/>
      </w:pPr>
      <w:r>
        <w:t>Vendor and third-party AI risk management, including Azure Marketplace and model catalog partners</w:t>
      </w:r>
    </w:p>
    <w:p w14:paraId="3F7EF6BF" w14:textId="77777777" w:rsidR="007355C5" w:rsidRDefault="00AC17C1">
      <w:pPr>
        <w:pStyle w:val="Heading2"/>
      </w:pPr>
      <w:bookmarkStart w:id="10" w:name="_Toc241649672"/>
      <w:r>
        <w:t>3.3 Risk, Security &amp; Governance</w:t>
      </w:r>
      <w:bookmarkEnd w:id="10"/>
    </w:p>
    <w:p w14:paraId="04CCCD90" w14:textId="77777777" w:rsidR="007355C5" w:rsidRDefault="00AC17C1">
      <w:pPr>
        <w:pStyle w:val="ListParagraph"/>
        <w:numPr>
          <w:ilvl w:val="0"/>
          <w:numId w:val="2"/>
        </w:numPr>
        <w:spacing w:after="80"/>
      </w:pPr>
      <w:r>
        <w:t>AI governance framework and decision rights (incl. AI Council)</w:t>
      </w:r>
    </w:p>
    <w:p w14:paraId="3FF6CE6D" w14:textId="77777777" w:rsidR="007355C5" w:rsidRDefault="00AC17C1">
      <w:pPr>
        <w:pStyle w:val="ListParagraph"/>
        <w:numPr>
          <w:ilvl w:val="0"/>
          <w:numId w:val="2"/>
        </w:numPr>
        <w:spacing w:after="80"/>
      </w:pPr>
      <w:r>
        <w:t>Model Risk Management (MRM) and independent validation</w:t>
      </w:r>
    </w:p>
    <w:p w14:paraId="7A59FF84" w14:textId="77777777" w:rsidR="007355C5" w:rsidRDefault="00AC17C1">
      <w:pPr>
        <w:pStyle w:val="ListParagraph"/>
        <w:numPr>
          <w:ilvl w:val="0"/>
          <w:numId w:val="2"/>
        </w:numPr>
        <w:spacing w:after="80"/>
      </w:pPr>
      <w:r>
        <w:t>Cybersecurity and AI-specific security (adversarial ML, data poisoning, prompt injection) using Microsoft Defender and Azure AI Content Safety</w:t>
      </w:r>
    </w:p>
    <w:p w14:paraId="69AC5593" w14:textId="77777777" w:rsidR="007355C5" w:rsidRDefault="00AC17C1">
      <w:pPr>
        <w:pStyle w:val="ListParagraph"/>
        <w:numPr>
          <w:ilvl w:val="0"/>
          <w:numId w:val="2"/>
        </w:numPr>
        <w:spacing w:after="80"/>
      </w:pPr>
      <w:r>
        <w:t>Identity, authentication, and authorization (human and machine/agent identities) via Microsoft Entra ID</w:t>
      </w:r>
    </w:p>
    <w:p w14:paraId="135BD487" w14:textId="77777777" w:rsidR="007355C5" w:rsidRDefault="00AC17C1">
      <w:pPr>
        <w:pStyle w:val="ListParagraph"/>
        <w:numPr>
          <w:ilvl w:val="0"/>
          <w:numId w:val="2"/>
        </w:numPr>
        <w:spacing w:after="80"/>
      </w:pPr>
      <w:r>
        <w:t>Data privacy and protection (PII, cross-border data transfer) via Microsoft Purview</w:t>
      </w:r>
    </w:p>
    <w:p w14:paraId="44F4F6A4" w14:textId="77777777" w:rsidR="007355C5" w:rsidRDefault="00AC17C1">
      <w:pPr>
        <w:pStyle w:val="ListParagraph"/>
        <w:numPr>
          <w:ilvl w:val="0"/>
          <w:numId w:val="2"/>
        </w:numPr>
        <w:spacing w:after="80"/>
      </w:pPr>
      <w:r>
        <w:t>Responsible AI: fairness, bias, explainability, transparency (Azure AI Foundry Responsible AI tooling)</w:t>
      </w:r>
    </w:p>
    <w:p w14:paraId="04A6C2E1" w14:textId="77777777" w:rsidR="007355C5" w:rsidRDefault="00AC17C1">
      <w:pPr>
        <w:pStyle w:val="ListParagraph"/>
        <w:numPr>
          <w:ilvl w:val="0"/>
          <w:numId w:val="2"/>
        </w:numPr>
        <w:spacing w:after="80"/>
      </w:pPr>
      <w:r>
        <w:t>Regulatory and legal compliance — Canada and United States regulatory map (Section 10)</w:t>
      </w:r>
    </w:p>
    <w:p w14:paraId="0C8EE84A" w14:textId="77777777" w:rsidR="007355C5" w:rsidRDefault="00AC17C1">
      <w:pPr>
        <w:pStyle w:val="ListParagraph"/>
        <w:numPr>
          <w:ilvl w:val="0"/>
          <w:numId w:val="2"/>
        </w:numPr>
        <w:spacing w:after="80"/>
      </w:pPr>
      <w:r>
        <w:t>Human oversight, human-in-the-loop, and escalation controls</w:t>
      </w:r>
    </w:p>
    <w:p w14:paraId="61721B59" w14:textId="77777777" w:rsidR="007355C5" w:rsidRDefault="00AC17C1">
      <w:pPr>
        <w:pStyle w:val="ListParagraph"/>
        <w:numPr>
          <w:ilvl w:val="0"/>
          <w:numId w:val="2"/>
        </w:numPr>
        <w:spacing w:after="80"/>
      </w:pPr>
      <w:r>
        <w:t>Incident response and business continuity for AI systems</w:t>
      </w:r>
    </w:p>
    <w:p w14:paraId="71901592" w14:textId="77777777" w:rsidR="007355C5" w:rsidRDefault="00AC17C1">
      <w:pPr>
        <w:pStyle w:val="ListParagraph"/>
        <w:numPr>
          <w:ilvl w:val="0"/>
          <w:numId w:val="2"/>
        </w:numPr>
        <w:spacing w:after="80"/>
      </w:pPr>
      <w:r>
        <w:t>Third-party/vendor and supply chain AI risk</w:t>
      </w:r>
    </w:p>
    <w:p w14:paraId="3F9885FD" w14:textId="77777777" w:rsidR="007355C5" w:rsidRDefault="00AC17C1">
      <w:pPr>
        <w:pStyle w:val="Heading2"/>
      </w:pPr>
      <w:bookmarkStart w:id="11" w:name="_Toc241649673"/>
      <w:r>
        <w:t>3.4 People &amp; Change</w:t>
      </w:r>
      <w:bookmarkEnd w:id="11"/>
    </w:p>
    <w:p w14:paraId="59590FCD" w14:textId="77777777" w:rsidR="007355C5" w:rsidRDefault="00AC17C1">
      <w:pPr>
        <w:pStyle w:val="ListParagraph"/>
        <w:numPr>
          <w:ilvl w:val="0"/>
          <w:numId w:val="2"/>
        </w:numPr>
        <w:spacing w:after="80"/>
      </w:pPr>
      <w:r>
        <w:t>Talent strategy, upskilling, and AI literacy training (including Azure/Copilot skilling)</w:t>
      </w:r>
    </w:p>
    <w:p w14:paraId="48C023F5" w14:textId="77777777" w:rsidR="007355C5" w:rsidRDefault="00AC17C1">
      <w:pPr>
        <w:pStyle w:val="ListParagraph"/>
        <w:numPr>
          <w:ilvl w:val="0"/>
          <w:numId w:val="2"/>
        </w:numPr>
        <w:spacing w:after="80"/>
      </w:pPr>
      <w:r>
        <w:t>Organizational design and change management</w:t>
      </w:r>
    </w:p>
    <w:p w14:paraId="0E304AD8" w14:textId="77777777" w:rsidR="007355C5" w:rsidRDefault="00AC17C1">
      <w:pPr>
        <w:pStyle w:val="ListParagraph"/>
        <w:numPr>
          <w:ilvl w:val="0"/>
          <w:numId w:val="2"/>
        </w:numPr>
        <w:spacing w:after="80"/>
      </w:pPr>
      <w:r>
        <w:lastRenderedPageBreak/>
        <w:t>Culture, communications, and employee trust</w:t>
      </w:r>
    </w:p>
    <w:p w14:paraId="6DB3F5F7" w14:textId="77777777" w:rsidR="007355C5" w:rsidRDefault="00AC17C1">
      <w:pPr>
        <w:pStyle w:val="Heading2"/>
      </w:pPr>
      <w:bookmarkStart w:id="12" w:name="_Toc241649674"/>
      <w:r>
        <w:t>3.5 Ongoing Management</w:t>
      </w:r>
      <w:bookmarkEnd w:id="12"/>
    </w:p>
    <w:p w14:paraId="2BEFF918" w14:textId="77777777" w:rsidR="007355C5" w:rsidRDefault="00AC17C1">
      <w:pPr>
        <w:pStyle w:val="ListParagraph"/>
        <w:numPr>
          <w:ilvl w:val="0"/>
          <w:numId w:val="2"/>
        </w:numPr>
        <w:spacing w:after="80"/>
      </w:pPr>
      <w:r>
        <w:t>Monitoring, drift detection, and continuous validation (Azure Monitor, Application Insights)</w:t>
      </w:r>
    </w:p>
    <w:p w14:paraId="3033EB01" w14:textId="77777777" w:rsidR="007355C5" w:rsidRDefault="00AC17C1">
      <w:pPr>
        <w:pStyle w:val="ListParagraph"/>
        <w:numPr>
          <w:ilvl w:val="0"/>
          <w:numId w:val="2"/>
        </w:numPr>
        <w:spacing w:after="80"/>
      </w:pPr>
      <w:r>
        <w:t>Metrics, KPIs, and value tracking</w:t>
      </w:r>
    </w:p>
    <w:p w14:paraId="52CB64AC" w14:textId="77777777" w:rsidR="007355C5" w:rsidRDefault="00AC17C1">
      <w:pPr>
        <w:pStyle w:val="ListParagraph"/>
        <w:numPr>
          <w:ilvl w:val="0"/>
          <w:numId w:val="2"/>
        </w:numPr>
        <w:spacing w:after="80"/>
      </w:pPr>
      <w:r>
        <w:t>Maturity model and continuous improvement</w:t>
      </w:r>
    </w:p>
    <w:p w14:paraId="5FE1F61F" w14:textId="77777777" w:rsidR="007355C5" w:rsidRDefault="00AC17C1">
      <w:pPr>
        <w:pBdr>
          <w:left w:val="single" w:sz="12" w:space="8" w:color="B00020"/>
        </w:pBdr>
        <w:spacing w:before="80" w:after="200"/>
        <w:ind w:left="200"/>
      </w:pPr>
      <w:r>
        <w:rPr>
          <w:i/>
          <w:iCs/>
          <w:color w:val="B00020"/>
        </w:rPr>
        <w:t>[PLACEHOLDER — Add/re-prioritize topics as the program evolves; link each topic to an owning executive]</w:t>
      </w:r>
    </w:p>
    <w:p w14:paraId="7AABE2B8" w14:textId="77777777" w:rsidR="007355C5" w:rsidRDefault="00AC17C1">
      <w:r>
        <w:br w:type="page"/>
      </w:r>
    </w:p>
    <w:p w14:paraId="2F25966B" w14:textId="77777777" w:rsidR="007355C5" w:rsidRDefault="00AC17C1">
      <w:pPr>
        <w:pStyle w:val="Heading1"/>
      </w:pPr>
      <w:bookmarkStart w:id="13" w:name="_Toc241649675"/>
      <w:r>
        <w:lastRenderedPageBreak/>
        <w:t>4. The Five Banking Departments With the Greatest AI Benefit</w:t>
      </w:r>
      <w:bookmarkEnd w:id="13"/>
    </w:p>
    <w:p w14:paraId="50085E29" w14:textId="77777777" w:rsidR="007355C5" w:rsidRDefault="00AC17C1">
      <w:pPr>
        <w:spacing w:after="160"/>
      </w:pPr>
      <w:r>
        <w:t>While AI can add value almost everywhere in a bank, the following five areas typically offer the strongest combination of financial impact, data readiness, and clear success metrics — making them the best starting points for an enterprise AI program built on Azure.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700"/>
        <w:gridCol w:w="3460"/>
      </w:tblGrid>
      <w:tr w:rsidR="007355C5" w14:paraId="767AC2AE"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C113C2F" w14:textId="77777777" w:rsidR="007355C5" w:rsidRDefault="00AC17C1">
            <w:r>
              <w:rPr>
                <w:b/>
                <w:bCs/>
                <w:color w:val="FFFFFF"/>
              </w:rPr>
              <w:t>Department</w:t>
            </w:r>
          </w:p>
        </w:tc>
        <w:tc>
          <w:tcPr>
            <w:tcW w:w="37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C3EC97D" w14:textId="77777777" w:rsidR="007355C5" w:rsidRDefault="00AC17C1">
            <w:r>
              <w:rPr>
                <w:b/>
                <w:bCs/>
                <w:color w:val="FFFFFF"/>
              </w:rPr>
              <w:t>Why It Benefits Most</w:t>
            </w:r>
          </w:p>
        </w:tc>
        <w:tc>
          <w:tcPr>
            <w:tcW w:w="34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FC4A856" w14:textId="77777777" w:rsidR="007355C5" w:rsidRDefault="00AC17C1">
            <w:r>
              <w:rPr>
                <w:b/>
                <w:bCs/>
                <w:color w:val="FFFFFF"/>
              </w:rPr>
              <w:t>Priority AI Use Cases</w:t>
            </w:r>
          </w:p>
        </w:tc>
      </w:tr>
      <w:tr w:rsidR="007355C5" w14:paraId="6D6C8FD0"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8B8C70" w14:textId="77777777" w:rsidR="007355C5" w:rsidRDefault="00AC17C1">
            <w:r>
              <w:rPr>
                <w:b/>
                <w:bCs/>
              </w:rPr>
              <w:t>Fraud, Financial Crime &amp; AML</w:t>
            </w:r>
          </w:p>
        </w:tc>
        <w:tc>
          <w:tcPr>
            <w:tcW w:w="3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978F03" w14:textId="77777777" w:rsidR="007355C5" w:rsidRDefault="00AC17C1">
            <w:r>
              <w:t>Transaction volumes are massive, patterns are subtle and constantly evolving, and false positives are extremely costly in analyst hours and customer friction. AI/ML dramatically outperforms static rules at detecting anomalies in real time.</w:t>
            </w:r>
          </w:p>
        </w:tc>
        <w:tc>
          <w:tcPr>
            <w:tcW w:w="3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563644" w14:textId="77777777" w:rsidR="007355C5" w:rsidRDefault="00AC17C1">
            <w:r>
              <w:t>Real-time transaction fraud scoring; AML transaction monitoring and alert triage; sanctions/watchlist name-matching; synthetic identity detection; network/graph analysis of money-mule rings.</w:t>
            </w:r>
          </w:p>
        </w:tc>
      </w:tr>
      <w:tr w:rsidR="007355C5" w14:paraId="01671549" w14:textId="77777777">
        <w:tc>
          <w:tcPr>
            <w:tcW w:w="22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78D618D8" w14:textId="77777777" w:rsidR="007355C5" w:rsidRDefault="00AC17C1">
            <w:r>
              <w:rPr>
                <w:b/>
                <w:bCs/>
              </w:rPr>
              <w:t>Customer Service &amp; Contact Centers</w:t>
            </w:r>
          </w:p>
        </w:tc>
        <w:tc>
          <w:tcPr>
            <w:tcW w:w="37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48840117" w14:textId="77777777" w:rsidR="007355C5" w:rsidRDefault="00AC17C1">
            <w:r>
              <w:t>High volume of repetitive inquiries, 24/7 expectations, and rising customer expectations for instant, personalized service make this a high-ROI, low-risk-to-start area, especially with human-in-the-loop escalation.</w:t>
            </w:r>
          </w:p>
        </w:tc>
        <w:tc>
          <w:tcPr>
            <w:tcW w:w="3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0B2ABB7B" w14:textId="77777777" w:rsidR="007355C5" w:rsidRDefault="00AC17C1">
            <w:r>
              <w:t>Conversational AI/chatbots and virtual assistants; agent-assist and call summarization; intelligent routing; sentiment analysis; personalized next-best-action offers.</w:t>
            </w:r>
          </w:p>
        </w:tc>
      </w:tr>
      <w:tr w:rsidR="007355C5" w14:paraId="3D46E1AE"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A83C73" w14:textId="77777777" w:rsidR="007355C5" w:rsidRDefault="00AC17C1">
            <w:r>
              <w:rPr>
                <w:b/>
                <w:bCs/>
              </w:rPr>
              <w:t>Credit Risk, Underwriting &amp; Collections</w:t>
            </w:r>
          </w:p>
        </w:tc>
        <w:tc>
          <w:tcPr>
            <w:tcW w:w="3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240B0D" w14:textId="77777777" w:rsidR="007355C5" w:rsidRDefault="00AC17C1">
            <w:r>
              <w:t>Credit decisions are data-rich and repeatable, and even small improvements in default prediction or approval speed translate directly into net interest income and reduced losses, provided fairness and explainability are built in.</w:t>
            </w:r>
          </w:p>
        </w:tc>
        <w:tc>
          <w:tcPr>
            <w:tcW w:w="3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C8E005" w14:textId="77777777" w:rsidR="007355C5" w:rsidRDefault="00AC17C1">
            <w:r>
              <w:t>Alternative-data credit scoring; automated underwriting and pricing; early-warning models for delinquency; collections prioritization and treatment optimization.</w:t>
            </w:r>
          </w:p>
        </w:tc>
      </w:tr>
      <w:tr w:rsidR="007355C5" w14:paraId="35AB82C7" w14:textId="77777777">
        <w:tc>
          <w:tcPr>
            <w:tcW w:w="22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34C9D16" w14:textId="77777777" w:rsidR="007355C5" w:rsidRDefault="00AC17C1">
            <w:r>
              <w:rPr>
                <w:b/>
                <w:bCs/>
              </w:rPr>
              <w:t>Compliance, Risk &amp; Regulatory Reporting</w:t>
            </w:r>
          </w:p>
        </w:tc>
        <w:tc>
          <w:tcPr>
            <w:tcW w:w="37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0D333CC5" w14:textId="77777777" w:rsidR="007355C5" w:rsidRDefault="00AC17C1">
            <w:r>
              <w:t>Regulatory obligations are complex, ever-changing, and heavily documentation-driven; AI can reduce manual review effort while improving consistency and audit-readiness, freeing scarce compliance talent for judgment-based work.</w:t>
            </w:r>
          </w:p>
        </w:tc>
        <w:tc>
          <w:tcPr>
            <w:tcW w:w="3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01AF1B00" w14:textId="77777777" w:rsidR="007355C5" w:rsidRDefault="00AC17C1">
            <w:r>
              <w:t>Automated regulatory change tracking; policy and control mapping; KYC/CDD document extraction and verification; regulatory reporting quality checks; conduct-risk surveillance (e.g., trader communications).</w:t>
            </w:r>
          </w:p>
        </w:tc>
      </w:tr>
      <w:tr w:rsidR="007355C5" w14:paraId="480D4435" w14:textId="77777777">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C4D37B" w14:textId="77777777" w:rsidR="007355C5" w:rsidRDefault="00AC17C1">
            <w:r>
              <w:rPr>
                <w:b/>
                <w:bCs/>
              </w:rPr>
              <w:t>Operations &amp; Middle/Back Office</w:t>
            </w:r>
          </w:p>
        </w:tc>
        <w:tc>
          <w:tcPr>
            <w:tcW w:w="3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CF1CF3B" w14:textId="77777777" w:rsidR="007355C5" w:rsidRDefault="00AC17C1">
            <w:r>
              <w:t>Operations involve high volumes of structured and unstructured document processing, reconciliations, and exceptions handling — ideal for automation and intelligent document processing to cut cost-to-serve and processing time.</w:t>
            </w:r>
          </w:p>
        </w:tc>
        <w:tc>
          <w:tcPr>
            <w:tcW w:w="3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A7D118" w14:textId="77777777" w:rsidR="007355C5" w:rsidRDefault="00AC17C1">
            <w:r>
              <w:t>Intelligent document processing (loan docs, trade confirms, invoices); reconciliation and exception management; robotic process automation combined with AI (“intelligent automation”); payments exception handling.</w:t>
            </w:r>
          </w:p>
        </w:tc>
      </w:tr>
    </w:tbl>
    <w:p w14:paraId="3FFE91D3" w14:textId="77777777" w:rsidR="007355C5" w:rsidRDefault="007355C5">
      <w:pPr>
        <w:spacing w:before="200"/>
      </w:pPr>
    </w:p>
    <w:p w14:paraId="242D2D10" w14:textId="77777777" w:rsidR="007355C5" w:rsidRDefault="00AC17C1">
      <w:pPr>
        <w:spacing w:after="160"/>
      </w:pPr>
      <w:r>
        <w:t>Honorable mentions for a bank's next wave of AI investment include Wealth &amp; Investment Management (portfolio insights, robo-advisory), Treasury/Finance (liquidity forecasting, FP&amp;A automation), Marketing (hyper-personalization), and HR/Talent (skills matching, attrition prediction). These form the initial backlog for future deep dives (candidate Sections 17.6+): the institution should prioritize among them using the same criteria as Section 4 (impact, feasibility, risk) and queue the highest-priority candid</w:t>
      </w:r>
      <w:r>
        <w:t>ate as the next deep dive once Section 17's current five are embedded.</w:t>
      </w:r>
    </w:p>
    <w:p w14:paraId="74267761" w14:textId="77777777" w:rsidR="007355C5" w:rsidRDefault="00AC17C1">
      <w:pPr>
        <w:pBdr>
          <w:left w:val="single" w:sz="12" w:space="8" w:color="B00020"/>
        </w:pBdr>
        <w:spacing w:before="80" w:after="200"/>
        <w:ind w:left="200"/>
      </w:pPr>
      <w:r>
        <w:rPr>
          <w:i/>
          <w:iCs/>
          <w:color w:val="B00020"/>
        </w:rPr>
        <w:t>[PLACEHOLDER — Institution-specific department prioritization scorecard (data readiness, value, risk, feasibility) and current-state maturity per department]</w:t>
      </w:r>
    </w:p>
    <w:p w14:paraId="02BEC9C4" w14:textId="77777777" w:rsidR="007355C5" w:rsidRDefault="00AC17C1">
      <w:pPr>
        <w:spacing w:after="160"/>
      </w:pPr>
      <w:r>
        <w:rPr>
          <w:i/>
          <w:iCs/>
        </w:rPr>
        <w:t>A full problem/solution/product/benefit deep dive for each of these departments, starting with Fraud, Financial Crime &amp; AML, is provided in Section 17 (Department Deep-Dives).</w:t>
      </w:r>
    </w:p>
    <w:p w14:paraId="6C4F0BB0" w14:textId="77777777" w:rsidR="007355C5" w:rsidRDefault="00AC17C1">
      <w:r>
        <w:br w:type="page"/>
      </w:r>
    </w:p>
    <w:p w14:paraId="2F805494" w14:textId="77777777" w:rsidR="007355C5" w:rsidRDefault="00AC17C1">
      <w:pPr>
        <w:pStyle w:val="Heading1"/>
      </w:pPr>
      <w:bookmarkStart w:id="14" w:name="_Toc241649676"/>
      <w:r>
        <w:lastRenderedPageBreak/>
        <w:t>5. How the Bank Should Approach AI Deployment</w:t>
      </w:r>
      <w:bookmarkEnd w:id="14"/>
    </w:p>
    <w:p w14:paraId="69398310" w14:textId="77777777" w:rsidR="007355C5" w:rsidRDefault="00AC17C1">
      <w:pPr>
        <w:spacing w:after="160"/>
      </w:pPr>
      <w:r>
        <w:t>AI deployment in a bank must balance speed with control. The recommended approach is a phased, risk-tiered rollout governed by a consistent intake and approval process, built on a standardized Azure reference architecture rather than an uncoordinated set of departmental pilots.</w:t>
      </w:r>
    </w:p>
    <w:p w14:paraId="5E65D9B9" w14:textId="77777777" w:rsidR="007355C5" w:rsidRDefault="00AC17C1">
      <w:pPr>
        <w:pStyle w:val="Heading2"/>
      </w:pPr>
      <w:bookmarkStart w:id="15" w:name="_Toc241649677"/>
      <w:r>
        <w:t>5.1 Guiding Principles</w:t>
      </w:r>
      <w:bookmarkEnd w:id="15"/>
    </w:p>
    <w:p w14:paraId="045E710B" w14:textId="77777777" w:rsidR="007355C5" w:rsidRDefault="00AC17C1">
      <w:pPr>
        <w:pStyle w:val="ListParagraph"/>
        <w:numPr>
          <w:ilvl w:val="0"/>
          <w:numId w:val="2"/>
        </w:numPr>
        <w:spacing w:after="80"/>
      </w:pPr>
      <w:r>
        <w:rPr>
          <w:b/>
          <w:bCs/>
        </w:rPr>
        <w:t xml:space="preserve">Risk-tiered, not one-size-fits-all: </w:t>
      </w:r>
      <w:r>
        <w:t>classify each use case by potential impact (e.g., customer-facing vs. internal, financial materiality, regulatory sensitivity) and apply proportionate controls (see Section 7.6 Risk-Tiering Rubric).</w:t>
      </w:r>
    </w:p>
    <w:p w14:paraId="36235683" w14:textId="77777777" w:rsidR="007355C5" w:rsidRDefault="00AC17C1">
      <w:pPr>
        <w:pStyle w:val="ListParagraph"/>
        <w:numPr>
          <w:ilvl w:val="0"/>
          <w:numId w:val="2"/>
        </w:numPr>
        <w:spacing w:after="80"/>
      </w:pPr>
      <w:r>
        <w:rPr>
          <w:b/>
          <w:bCs/>
        </w:rPr>
        <w:t xml:space="preserve">Human accountability is non-negotiable: </w:t>
      </w:r>
      <w:r>
        <w:t>a named business owner and model owner are accountable for every AI system's outcomes, regardless of vendor, cloud provider, or automation level.</w:t>
      </w:r>
    </w:p>
    <w:p w14:paraId="04BABD2E" w14:textId="77777777" w:rsidR="007355C5" w:rsidRDefault="00AC17C1">
      <w:pPr>
        <w:pStyle w:val="ListParagraph"/>
        <w:numPr>
          <w:ilvl w:val="0"/>
          <w:numId w:val="2"/>
        </w:numPr>
        <w:spacing w:after="80"/>
      </w:pPr>
      <w:r>
        <w:rPr>
          <w:b/>
          <w:bCs/>
        </w:rPr>
        <w:t xml:space="preserve">Start with augmentation, graduate to automation: </w:t>
      </w:r>
      <w:r>
        <w:t>begin with human-in-the-loop decision support before allowing full straight-through automation, especially for credit, AML, and customer-impacting decisions.</w:t>
      </w:r>
    </w:p>
    <w:p w14:paraId="0AF83C2C" w14:textId="77777777" w:rsidR="007355C5" w:rsidRDefault="00AC17C1">
      <w:pPr>
        <w:pStyle w:val="ListParagraph"/>
        <w:numPr>
          <w:ilvl w:val="0"/>
          <w:numId w:val="2"/>
        </w:numPr>
        <w:spacing w:after="80"/>
      </w:pPr>
      <w:r>
        <w:rPr>
          <w:b/>
          <w:bCs/>
        </w:rPr>
        <w:t xml:space="preserve">Reuse a common Azure platform: </w:t>
      </w:r>
      <w:r>
        <w:t>centralize data pipelines (Microsoft Fabric), model hosting (Azure AI Foundry, Azure Machine Learning, Azure OpenAI Service), monitoring, and guardrails in a shared AI/ML platform to avoid shadow AI and inconsistent controls.</w:t>
      </w:r>
    </w:p>
    <w:p w14:paraId="702908C6" w14:textId="77777777" w:rsidR="007355C5" w:rsidRDefault="00AC17C1">
      <w:pPr>
        <w:pStyle w:val="ListParagraph"/>
        <w:numPr>
          <w:ilvl w:val="0"/>
          <w:numId w:val="2"/>
        </w:numPr>
        <w:spacing w:after="80"/>
      </w:pPr>
      <w:r>
        <w:rPr>
          <w:b/>
          <w:bCs/>
        </w:rPr>
        <w:t xml:space="preserve">Governance travels with the use case: </w:t>
      </w:r>
      <w:r>
        <w:t>every deployment — whether built in-house on Azure, via a vendor, or embedded in a SaaS product — goes through the same intake, risk assessment, and sign-off process overseen by the AI Governance Council (Section 7.4).</w:t>
      </w:r>
    </w:p>
    <w:p w14:paraId="714274E2" w14:textId="77777777" w:rsidR="007355C5" w:rsidRDefault="00AC17C1">
      <w:pPr>
        <w:pStyle w:val="Heading2"/>
      </w:pPr>
      <w:bookmarkStart w:id="16" w:name="_Toc241649678"/>
      <w:r>
        <w:t>5.2 Reference Architecture on Microsoft Azure</w:t>
      </w:r>
      <w:bookmarkEnd w:id="16"/>
    </w:p>
    <w:p w14:paraId="1D8B041B" w14:textId="77777777" w:rsidR="007355C5" w:rsidRDefault="00AC17C1">
      <w:pPr>
        <w:spacing w:after="160"/>
      </w:pPr>
      <w:r>
        <w:t>To keep delivery fast and consistent, every AI use case should be built on the same set of pre-approved Azure building blocks rather than each team selecting its own tools. This also gives security, risk, and audit a single environment to monitor.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760"/>
      </w:tblGrid>
      <w:tr w:rsidR="007355C5" w14:paraId="4F692608" w14:textId="77777777">
        <w:trPr>
          <w:tblHeader/>
        </w:trPr>
        <w:tc>
          <w:tcPr>
            <w:tcW w:w="2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92938FA" w14:textId="77777777" w:rsidR="007355C5" w:rsidRDefault="00AC17C1">
            <w:r>
              <w:rPr>
                <w:b/>
                <w:bCs/>
                <w:color w:val="FFFFFF"/>
              </w:rPr>
              <w:t>Capability Area</w:t>
            </w:r>
          </w:p>
        </w:tc>
        <w:tc>
          <w:tcPr>
            <w:tcW w:w="67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D7BBF5D" w14:textId="77777777" w:rsidR="007355C5" w:rsidRDefault="00AC17C1">
            <w:r>
              <w:rPr>
                <w:b/>
                <w:bCs/>
                <w:color w:val="FFFFFF"/>
              </w:rPr>
              <w:t>Relevant Azure / Microsoft Services</w:t>
            </w:r>
          </w:p>
        </w:tc>
      </w:tr>
      <w:tr w:rsidR="007355C5" w14:paraId="33BC88E2"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E4D32E" w14:textId="77777777" w:rsidR="007355C5" w:rsidRDefault="00AC17C1">
            <w:r>
              <w:rPr>
                <w:b/>
                <w:bCs/>
              </w:rPr>
              <w:t>Landing zone &amp; infrastructure</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86501F" w14:textId="77777777" w:rsidR="007355C5" w:rsidRDefault="00AC17C1">
            <w:r>
              <w:t>Azure Landing Zones for a segregated, policy-compliant environment; Azure Policy and Microsoft Cost Management for guardrails and spend control.</w:t>
            </w:r>
          </w:p>
        </w:tc>
      </w:tr>
      <w:tr w:rsidR="007355C5" w14:paraId="41585647" w14:textId="77777777">
        <w:tc>
          <w:tcPr>
            <w:tcW w:w="26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2DC14D9" w14:textId="77777777" w:rsidR="007355C5" w:rsidRDefault="00AC17C1">
            <w:r>
              <w:rPr>
                <w:b/>
                <w:bCs/>
              </w:rPr>
              <w:t>Data platform</w:t>
            </w:r>
          </w:p>
        </w:tc>
        <w:tc>
          <w:tcPr>
            <w:tcW w:w="67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018C55D" w14:textId="77777777" w:rsidR="007355C5" w:rsidRDefault="00AC17C1">
            <w:r>
              <w:t>Microsoft Fabric (OneLake) and Azure Data Lake Storage for governed, centralized data; Microsoft Purview for cataloging, lineage, and sensitivity labeling.</w:t>
            </w:r>
          </w:p>
        </w:tc>
      </w:tr>
      <w:tr w:rsidR="007355C5" w14:paraId="1649D50B"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F2C54B" w14:textId="77777777" w:rsidR="007355C5" w:rsidRDefault="00AC17C1">
            <w:r>
              <w:rPr>
                <w:b/>
                <w:bCs/>
              </w:rPr>
              <w:t>Model development &amp; hosting</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87D6D8" w14:textId="77777777" w:rsidR="007355C5" w:rsidRDefault="00AC17C1">
            <w:r>
              <w:t>Azure AI Foundry and Azure Machine Learning for model/agent development, evaluation, and MLOps; Azure OpenAI Service for generative AI and large language models.</w:t>
            </w:r>
          </w:p>
        </w:tc>
      </w:tr>
      <w:tr w:rsidR="007355C5" w14:paraId="0CCEA91E" w14:textId="77777777">
        <w:tc>
          <w:tcPr>
            <w:tcW w:w="26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97EBFCB" w14:textId="77777777" w:rsidR="007355C5" w:rsidRDefault="00AC17C1">
            <w:r>
              <w:rPr>
                <w:b/>
                <w:bCs/>
              </w:rPr>
              <w:t>Identity &amp; access</w:t>
            </w:r>
          </w:p>
        </w:tc>
        <w:tc>
          <w:tcPr>
            <w:tcW w:w="67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7E909C71" w14:textId="77777777" w:rsidR="007355C5" w:rsidRDefault="00AC17C1">
            <w:r>
              <w:t>Microsoft Entra ID for human and workload identities, Conditional Access, and Privileged Identity Management (PIM) for just-in-time elevated access.</w:t>
            </w:r>
          </w:p>
        </w:tc>
      </w:tr>
      <w:tr w:rsidR="007355C5" w14:paraId="643A0188"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F3AA65B" w14:textId="77777777" w:rsidR="007355C5" w:rsidRDefault="00AC17C1">
            <w:r>
              <w:rPr>
                <w:b/>
                <w:bCs/>
              </w:rPr>
              <w:lastRenderedPageBreak/>
              <w:t>Security &amp; content safety</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0CF5AF" w14:textId="77777777" w:rsidR="007355C5" w:rsidRDefault="00AC17C1">
            <w:r>
              <w:t>Microsoft Defender for Cloud for posture management and threat protection; Azure AI Content Safety and Azure Key Vault for guardrails and secrets management.</w:t>
            </w:r>
          </w:p>
        </w:tc>
      </w:tr>
      <w:tr w:rsidR="007355C5" w14:paraId="37817E93" w14:textId="77777777">
        <w:tc>
          <w:tcPr>
            <w:tcW w:w="26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05998C6" w14:textId="77777777" w:rsidR="007355C5" w:rsidRDefault="00AC17C1">
            <w:r>
              <w:rPr>
                <w:b/>
                <w:bCs/>
              </w:rPr>
              <w:t>Monitoring &amp; observability</w:t>
            </w:r>
          </w:p>
        </w:tc>
        <w:tc>
          <w:tcPr>
            <w:tcW w:w="67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84699A8" w14:textId="77777777" w:rsidR="007355C5" w:rsidRDefault="00AC17C1">
            <w:r>
              <w:t>Azure Monitor and Application Insights for model/agent telemetry; Microsoft Sentinel for security information and event management (SIEM) integration.</w:t>
            </w:r>
          </w:p>
        </w:tc>
      </w:tr>
      <w:tr w:rsidR="007355C5" w14:paraId="10B9FFD4" w14:textId="77777777">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E19E3F" w14:textId="77777777" w:rsidR="007355C5" w:rsidRDefault="00AC17C1">
            <w:r>
              <w:rPr>
                <w:b/>
                <w:bCs/>
              </w:rPr>
              <w:t>Responsible AI tooling</w:t>
            </w:r>
          </w:p>
        </w:tc>
        <w:tc>
          <w:tcPr>
            <w:tcW w:w="6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80D6B7" w14:textId="77777777" w:rsidR="007355C5" w:rsidRDefault="00AC17C1">
            <w:r>
              <w:t>Azure AI Foundry Responsible AI dashboard for fairness, explainability, and error analysis prior to production release.</w:t>
            </w:r>
          </w:p>
        </w:tc>
      </w:tr>
    </w:tbl>
    <w:p w14:paraId="4A981738" w14:textId="77777777" w:rsidR="007355C5" w:rsidRDefault="00AC17C1">
      <w:pPr>
        <w:spacing w:after="160"/>
      </w:pPr>
      <w:r>
        <w:t>Canonical services note: to avoid ambiguity across this playbook, Azure Machine Learning is the authoritative platform for classic/structured-data ML (scorecards, fraud and credit models, forecasting) - training, the model registry, and batch/real-time endpoints for these models live there. Azure AI Foundry is the authoritative platform for generative and agentic AI (LLM/SLM model catalog, prompt flow, agent orchestration, evaluation, and the Responsible AI dashboard for generative workloads) and also surfa</w:t>
      </w:r>
      <w:r>
        <w:t>ces the Responsible AI dashboard for Azure Machine Learning models. Both platforms register their assets into the single AI/Model Inventory (Section 7.5); references elsewhere in this playbook to “Azure Machine Learning” or “Azure AI Foundry” should be read against this split rather than as interchangeable terms.</w:t>
      </w:r>
    </w:p>
    <w:p w14:paraId="47BFA9D1" w14:textId="77777777" w:rsidR="007355C5" w:rsidRDefault="007355C5">
      <w:pPr>
        <w:spacing w:before="200"/>
      </w:pPr>
    </w:p>
    <w:p w14:paraId="1EE2950A" w14:textId="77777777" w:rsidR="007355C5" w:rsidRDefault="00AC17C1">
      <w:pPr>
        <w:pStyle w:val="Heading2"/>
      </w:pPr>
      <w:bookmarkStart w:id="17" w:name="_Toc241649679"/>
      <w:r>
        <w:t>5.3 Phased Roadmap</w:t>
      </w:r>
      <w:bookmarkEnd w:id="17"/>
    </w:p>
    <w:p w14:paraId="757C5980" w14:textId="77777777" w:rsidR="007355C5" w:rsidRDefault="00AC17C1">
      <w:pPr>
        <w:pStyle w:val="ListParagraph"/>
        <w:numPr>
          <w:ilvl w:val="0"/>
          <w:numId w:val="3"/>
        </w:numPr>
        <w:spacing w:after="80"/>
      </w:pPr>
      <w:r>
        <w:t>Foundation (Months 0–6): stand up AI governance (Section 7), an Azure landing zone and data foundation (Microsoft Fabric/Purview), an approved model inventory, and 2–3 low-risk pilots in high-value areas (e.g., fraud alert triage, agent-assist) using Azure AI Foundry.</w:t>
      </w:r>
    </w:p>
    <w:p w14:paraId="3E827E88" w14:textId="77777777" w:rsidR="007355C5" w:rsidRDefault="00AC17C1">
      <w:pPr>
        <w:pStyle w:val="ListParagraph"/>
        <w:numPr>
          <w:ilvl w:val="0"/>
          <w:numId w:val="3"/>
        </w:numPr>
        <w:spacing w:after="80"/>
      </w:pPr>
      <w:r>
        <w:t>Scale Early Wins (Months 6–12): industrialize successful pilots into production with full MRM validation, Azure Monitor-based monitoring, and MLOps pipelines; expand to 2–3 additional departments from Section 4.</w:t>
      </w:r>
    </w:p>
    <w:p w14:paraId="2F3D0B23" w14:textId="77777777" w:rsidR="007355C5" w:rsidRDefault="00AC17C1">
      <w:pPr>
        <w:pStyle w:val="ListParagraph"/>
        <w:numPr>
          <w:ilvl w:val="0"/>
          <w:numId w:val="3"/>
        </w:numPr>
        <w:spacing w:after="80"/>
      </w:pPr>
      <w:r>
        <w:t>Expand &amp; Integrate (Year 2): connect AI into core workflows and decisioning (underwriting, collections, compliance surveillance); introduce agentic workflows in Azure AI Foundry with tightly scoped Entra ID permissions and human checkpoints.</w:t>
      </w:r>
    </w:p>
    <w:p w14:paraId="53E10E7D" w14:textId="77777777" w:rsidR="007355C5" w:rsidRDefault="00AC17C1">
      <w:pPr>
        <w:pStyle w:val="ListParagraph"/>
        <w:numPr>
          <w:ilvl w:val="0"/>
          <w:numId w:val="3"/>
        </w:numPr>
        <w:spacing w:after="80"/>
      </w:pPr>
      <w:r>
        <w:t>Optimize &amp; Innovate (Year 3+): continuously retrain/retire models, pursue advanced use cases (autonomous agents, real-time personalization at scale), and benchmark maturity against peers/regulators' expectations.</w:t>
      </w:r>
    </w:p>
    <w:p w14:paraId="7BF5A3E7" w14:textId="77777777" w:rsidR="007355C5" w:rsidRDefault="00AC17C1">
      <w:pPr>
        <w:pStyle w:val="Heading2"/>
      </w:pPr>
      <w:bookmarkStart w:id="18" w:name="_Toc241649680"/>
      <w:r>
        <w:t>5.4 Intake and Approval Workflow (Every Use Case)</w:t>
      </w:r>
      <w:bookmarkEnd w:id="18"/>
    </w:p>
    <w:p w14:paraId="199DD499" w14:textId="77777777" w:rsidR="007355C5" w:rsidRDefault="00AC17C1">
      <w:pPr>
        <w:pStyle w:val="ListParagraph"/>
        <w:numPr>
          <w:ilvl w:val="0"/>
          <w:numId w:val="3"/>
        </w:numPr>
        <w:spacing w:after="80"/>
      </w:pPr>
      <w:r>
        <w:t>Business case &amp; problem definition, including expected value and success metrics.</w:t>
      </w:r>
    </w:p>
    <w:p w14:paraId="56F1B8D6" w14:textId="77777777" w:rsidR="007355C5" w:rsidRDefault="00AC17C1">
      <w:pPr>
        <w:pStyle w:val="ListParagraph"/>
        <w:numPr>
          <w:ilvl w:val="0"/>
          <w:numId w:val="3"/>
        </w:numPr>
        <w:spacing w:after="80"/>
      </w:pPr>
      <w:r>
        <w:t>Risk tiering and applicability screen (data privacy, fairness, safety, regulatory) per Section 7.6.</w:t>
      </w:r>
    </w:p>
    <w:p w14:paraId="124CDFFB" w14:textId="77777777" w:rsidR="007355C5" w:rsidRDefault="00AC17C1">
      <w:pPr>
        <w:pStyle w:val="ListParagraph"/>
        <w:numPr>
          <w:ilvl w:val="0"/>
          <w:numId w:val="3"/>
        </w:numPr>
        <w:spacing w:after="80"/>
      </w:pPr>
      <w:r>
        <w:t>Data assessment: availability, quality, lineage, consent, and cross-border considerations (via Microsoft Purview).</w:t>
      </w:r>
    </w:p>
    <w:p w14:paraId="2A396BCA" w14:textId="77777777" w:rsidR="007355C5" w:rsidRDefault="00AC17C1">
      <w:pPr>
        <w:pStyle w:val="ListParagraph"/>
        <w:numPr>
          <w:ilvl w:val="0"/>
          <w:numId w:val="3"/>
        </w:numPr>
        <w:spacing w:after="80"/>
      </w:pPr>
      <w:r>
        <w:t>Build/buy/partner decision (Section 5.6) and vendor due diligence if applicable (Section 13), including whether an Azure-native service meets the need.</w:t>
      </w:r>
    </w:p>
    <w:p w14:paraId="77E8E26C" w14:textId="77777777" w:rsidR="007355C5" w:rsidRDefault="00AC17C1">
      <w:pPr>
        <w:pStyle w:val="ListParagraph"/>
        <w:numPr>
          <w:ilvl w:val="0"/>
          <w:numId w:val="3"/>
        </w:numPr>
        <w:spacing w:after="80"/>
      </w:pPr>
      <w:r>
        <w:lastRenderedPageBreak/>
        <w:t>Model development and independent validation per Model Risk Management standards (Section 7.2), with registration in the AI/Model Inventory (Section 7.5).</w:t>
      </w:r>
    </w:p>
    <w:p w14:paraId="3C43325C" w14:textId="77777777" w:rsidR="007355C5" w:rsidRDefault="00AC17C1">
      <w:pPr>
        <w:pStyle w:val="ListParagraph"/>
        <w:numPr>
          <w:ilvl w:val="0"/>
          <w:numId w:val="3"/>
        </w:numPr>
        <w:spacing w:after="80"/>
      </w:pPr>
      <w:r>
        <w:t>Security and access review (Section 8) and privacy/legal sign-off (Section 9, 10, 11).</w:t>
      </w:r>
    </w:p>
    <w:p w14:paraId="78EFC743" w14:textId="77777777" w:rsidR="007355C5" w:rsidRDefault="00AC17C1">
      <w:pPr>
        <w:pStyle w:val="ListParagraph"/>
        <w:numPr>
          <w:ilvl w:val="0"/>
          <w:numId w:val="3"/>
        </w:numPr>
        <w:spacing w:after="80"/>
      </w:pPr>
      <w:r>
        <w:t>Controlled pilot with defined guardrails, monitoring, and rollback plan.</w:t>
      </w:r>
    </w:p>
    <w:p w14:paraId="21BC5F5C" w14:textId="77777777" w:rsidR="007355C5" w:rsidRDefault="00AC17C1">
      <w:pPr>
        <w:pStyle w:val="ListParagraph"/>
        <w:numPr>
          <w:ilvl w:val="0"/>
          <w:numId w:val="3"/>
        </w:numPr>
        <w:spacing w:after="80"/>
      </w:pPr>
      <w:r>
        <w:t>Production approval by the AI Governance Council (Section 7.4); ongoing monitoring and periodic re-validation.</w:t>
      </w:r>
    </w:p>
    <w:p w14:paraId="52A31660" w14:textId="77777777" w:rsidR="007355C5" w:rsidRDefault="00AC17C1">
      <w:pPr>
        <w:pStyle w:val="Heading2"/>
      </w:pPr>
      <w:bookmarkStart w:id="19" w:name="_Toc241649681"/>
      <w:r>
        <w:t>5.5 Operating Model</w:t>
      </w:r>
      <w:bookmarkEnd w:id="19"/>
    </w:p>
    <w:p w14:paraId="559E456E" w14:textId="77777777" w:rsidR="007355C5" w:rsidRDefault="00AC17C1">
      <w:pPr>
        <w:spacing w:after="160"/>
      </w:pPr>
      <w:r>
        <w:t>Most banks succeed with a hybrid model: a central AI Center of Excellence (CAIO-led) that sets standards, operates the shared Azure AI platform, and runs governance, paired with embedded AI/analytics talent inside each business line who understand domain nuance and own day-to-day use case delivery.</w:t>
      </w:r>
    </w:p>
    <w:p w14:paraId="33DA5DA9" w14:textId="77777777" w:rsidR="007355C5" w:rsidRDefault="00AC17C1">
      <w:pPr>
        <w:spacing w:after="160"/>
      </w:pPr>
      <w:r>
        <w:t>The following baseline RACI defines accountability for AI delivery and is the RACI referenced throughout this playbook (including each department deep dive's business case outline, Section 17). Each institution should name specific individuals/teams against these roles.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219"/>
        <w:gridCol w:w="1512"/>
        <w:gridCol w:w="790"/>
        <w:gridCol w:w="1952"/>
        <w:gridCol w:w="2160"/>
        <w:gridCol w:w="1035"/>
      </w:tblGrid>
      <w:tr w:rsidR="007355C5" w14:paraId="52638EC1" w14:textId="77777777">
        <w:trPr>
          <w:tblHeader/>
        </w:trPr>
        <w:tc>
          <w:tcPr>
            <w:tcW w:w="21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B47E7EC" w14:textId="77777777" w:rsidR="007355C5" w:rsidRDefault="00AC17C1">
            <w:r>
              <w:rPr>
                <w:b/>
                <w:bCs/>
                <w:color w:val="FFFFFF"/>
              </w:rPr>
              <w:t>Activity</w:t>
            </w:r>
          </w:p>
        </w:tc>
        <w:tc>
          <w:tcPr>
            <w:tcW w:w="1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099262B" w14:textId="77777777" w:rsidR="007355C5" w:rsidRDefault="00AC17C1">
            <w:r>
              <w:rPr>
                <w:b/>
                <w:bCs/>
                <w:color w:val="FFFFFF"/>
              </w:rPr>
              <w:t>Business Sponsor</w:t>
            </w:r>
          </w:p>
        </w:tc>
        <w:tc>
          <w:tcPr>
            <w:tcW w:w="1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E5A2CDE" w14:textId="77777777" w:rsidR="007355C5" w:rsidRDefault="00AC17C1">
            <w:r>
              <w:rPr>
                <w:b/>
                <w:bCs/>
                <w:color w:val="FFFFFF"/>
              </w:rPr>
              <w:t>AI Governance Council</w:t>
            </w:r>
          </w:p>
        </w:tc>
        <w:tc>
          <w:tcPr>
            <w:tcW w:w="1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4781432" w14:textId="77777777" w:rsidR="007355C5" w:rsidRDefault="00AC17C1">
            <w:r>
              <w:rPr>
                <w:b/>
                <w:bCs/>
                <w:color w:val="FFFFFF"/>
              </w:rPr>
              <w:t>CAIO / AI CoE</w:t>
            </w:r>
          </w:p>
        </w:tc>
        <w:tc>
          <w:tcPr>
            <w:tcW w:w="12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DAB89F2" w14:textId="77777777" w:rsidR="007355C5" w:rsidRDefault="00AC17C1">
            <w:r>
              <w:rPr>
                <w:b/>
                <w:bCs/>
                <w:color w:val="FFFFFF"/>
              </w:rPr>
              <w:t>Model/Technical Owner</w:t>
            </w:r>
          </w:p>
        </w:tc>
        <w:tc>
          <w:tcPr>
            <w:tcW w:w="1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8D7E334" w14:textId="77777777" w:rsidR="007355C5" w:rsidRDefault="00AC17C1">
            <w:r>
              <w:rPr>
                <w:b/>
                <w:bCs/>
                <w:color w:val="FFFFFF"/>
              </w:rPr>
              <w:t>Second Line (Risk/Compliance)</w:t>
            </w:r>
          </w:p>
        </w:tc>
        <w:tc>
          <w:tcPr>
            <w:tcW w:w="1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D341701" w14:textId="77777777" w:rsidR="007355C5" w:rsidRDefault="00AC17C1">
            <w:r>
              <w:rPr>
                <w:b/>
                <w:bCs/>
                <w:color w:val="FFFFFF"/>
              </w:rPr>
              <w:t>Internal Audit</w:t>
            </w:r>
          </w:p>
        </w:tc>
      </w:tr>
      <w:tr w:rsidR="007355C5" w14:paraId="594841F5" w14:textId="77777777">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6852A9" w14:textId="77777777" w:rsidR="007355C5" w:rsidRDefault="00AC17C1">
            <w:r>
              <w:t>Propose use case &amp; business case</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380159" w14:textId="77777777" w:rsidR="007355C5" w:rsidRDefault="00AC17C1">
            <w:r>
              <w:t>A/R</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8989902"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32CE3A" w14:textId="77777777" w:rsidR="007355C5" w:rsidRDefault="00AC17C1">
            <w:r>
              <w:t>C</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1E3B25" w14:textId="77777777" w:rsidR="007355C5" w:rsidRDefault="00AC17C1">
            <w:r>
              <w:t>C</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CFDD7F" w14:textId="77777777" w:rsidR="007355C5" w:rsidRDefault="00AC17C1">
            <w:r>
              <w:t>I</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8712FEB" w14:textId="77777777" w:rsidR="007355C5" w:rsidRDefault="00AC17C1">
            <w:r>
              <w:t>-</w:t>
            </w:r>
          </w:p>
        </w:tc>
      </w:tr>
      <w:tr w:rsidR="007355C5" w14:paraId="5BCD781F" w14:textId="77777777">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1729F2" w14:textId="77777777" w:rsidR="007355C5" w:rsidRDefault="00AC17C1">
            <w:r>
              <w:t>Approve for development (intake, Section 5.4)</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7B10FDE" w14:textId="77777777" w:rsidR="007355C5" w:rsidRDefault="00AC17C1">
            <w:r>
              <w:t>C</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EBA8127" w14:textId="77777777" w:rsidR="007355C5" w:rsidRDefault="00AC17C1">
            <w:r>
              <w:t>A</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F99647" w14:textId="77777777" w:rsidR="007355C5" w:rsidRDefault="00AC17C1">
            <w:r>
              <w:t>R</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06E4DB" w14:textId="77777777" w:rsidR="007355C5" w:rsidRDefault="00AC17C1">
            <w:r>
              <w:t>C</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866ED7" w14:textId="77777777" w:rsidR="007355C5" w:rsidRDefault="00AC17C1">
            <w:r>
              <w:t>C</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56FA4F" w14:textId="77777777" w:rsidR="007355C5" w:rsidRDefault="00AC17C1">
            <w:r>
              <w:t>-</w:t>
            </w:r>
          </w:p>
        </w:tc>
      </w:tr>
      <w:tr w:rsidR="007355C5" w14:paraId="055CAD8A" w14:textId="77777777">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862BC7" w14:textId="77777777" w:rsidR="007355C5" w:rsidRDefault="00AC17C1">
            <w:r>
              <w:t>Build &amp; document model</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A4A6E6C"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7B0C42"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9236D0" w14:textId="77777777" w:rsidR="007355C5" w:rsidRDefault="00AC17C1">
            <w:r>
              <w:t>C</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4DA6B4" w14:textId="77777777" w:rsidR="007355C5" w:rsidRDefault="00AC17C1">
            <w:r>
              <w:t>A/R</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00F267" w14:textId="77777777" w:rsidR="007355C5" w:rsidRDefault="00AC17C1">
            <w:r>
              <w:t>I</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6016EF" w14:textId="77777777" w:rsidR="007355C5" w:rsidRDefault="00AC17C1">
            <w:r>
              <w:t>-</w:t>
            </w:r>
          </w:p>
        </w:tc>
      </w:tr>
      <w:tr w:rsidR="007355C5" w14:paraId="6450A032" w14:textId="77777777">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F7A2B06" w14:textId="77777777" w:rsidR="007355C5" w:rsidRDefault="00AC17C1">
            <w:r>
              <w:t>Independent validation (Section 7.2)</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CD15F3F"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3FB41A"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1ED1679" w14:textId="77777777" w:rsidR="007355C5" w:rsidRDefault="00AC17C1">
            <w:r>
              <w:t>C</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83EF4F" w14:textId="77777777" w:rsidR="007355C5" w:rsidRDefault="00AC17C1">
            <w:r>
              <w:t>C</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806AE3" w14:textId="77777777" w:rsidR="007355C5" w:rsidRDefault="00AC17C1">
            <w:r>
              <w:t>A/R</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91615B" w14:textId="77777777" w:rsidR="007355C5" w:rsidRDefault="00AC17C1">
            <w:r>
              <w:t>I</w:t>
            </w:r>
          </w:p>
        </w:tc>
      </w:tr>
      <w:tr w:rsidR="007355C5" w14:paraId="0ADB0155" w14:textId="77777777">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1E8A97" w14:textId="77777777" w:rsidR="007355C5" w:rsidRDefault="00AC17C1">
            <w:r>
              <w:t>Approve for production</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B77B6E" w14:textId="77777777" w:rsidR="007355C5" w:rsidRDefault="00AC17C1">
            <w:r>
              <w:t>C</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06E3C1" w14:textId="77777777" w:rsidR="007355C5" w:rsidRDefault="00AC17C1">
            <w:r>
              <w:t>A/R</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75C572D" w14:textId="77777777" w:rsidR="007355C5" w:rsidRDefault="00AC17C1">
            <w:r>
              <w:t>C</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894120" w14:textId="77777777" w:rsidR="007355C5" w:rsidRDefault="00AC17C1">
            <w:r>
              <w:t>C</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894320D" w14:textId="77777777" w:rsidR="007355C5" w:rsidRDefault="00AC17C1">
            <w:r>
              <w:t>C</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8511D39" w14:textId="77777777" w:rsidR="007355C5" w:rsidRDefault="00AC17C1">
            <w:r>
              <w:t>I</w:t>
            </w:r>
          </w:p>
        </w:tc>
      </w:tr>
      <w:tr w:rsidR="007355C5" w14:paraId="25B50C2D" w14:textId="77777777">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CEC364" w14:textId="77777777" w:rsidR="007355C5" w:rsidRDefault="00AC17C1">
            <w:r>
              <w:t>Ongoing monitoring &amp; re-validation</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2A9EEF"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1FF4DD"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01AB6A" w14:textId="77777777" w:rsidR="007355C5" w:rsidRDefault="00AC17C1">
            <w:r>
              <w:t>R</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19AEEA" w14:textId="77777777" w:rsidR="007355C5" w:rsidRDefault="00AC17C1">
            <w:r>
              <w:t>A/R</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5823B3" w14:textId="77777777" w:rsidR="007355C5" w:rsidRDefault="00AC17C1">
            <w:r>
              <w:t>C</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75E3F73" w14:textId="77777777" w:rsidR="007355C5" w:rsidRDefault="00AC17C1">
            <w:r>
              <w:t>I</w:t>
            </w:r>
          </w:p>
        </w:tc>
      </w:tr>
      <w:tr w:rsidR="007355C5" w14:paraId="3E44B91A" w14:textId="77777777">
        <w:tc>
          <w:tcPr>
            <w:tcW w:w="2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A0D551" w14:textId="77777777" w:rsidR="007355C5" w:rsidRDefault="00AC17C1">
            <w:r>
              <w:t>Periodic audit</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245C65"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3F94B9C"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D66D00" w14:textId="77777777" w:rsidR="007355C5" w:rsidRDefault="00AC17C1">
            <w:r>
              <w:t>I</w:t>
            </w:r>
          </w:p>
        </w:tc>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6205DDD" w14:textId="77777777" w:rsidR="007355C5" w:rsidRDefault="00AC17C1">
            <w:r>
              <w:t>I</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BD97FC" w14:textId="77777777" w:rsidR="007355C5" w:rsidRDefault="00AC17C1">
            <w:r>
              <w:t>C</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E7CA14B" w14:textId="77777777" w:rsidR="007355C5" w:rsidRDefault="00AC17C1">
            <w:r>
              <w:t>A/R</w:t>
            </w:r>
          </w:p>
        </w:tc>
      </w:tr>
    </w:tbl>
    <w:p w14:paraId="6D7DE1D9" w14:textId="77777777" w:rsidR="007355C5" w:rsidRDefault="00AC17C1">
      <w:pPr>
        <w:spacing w:after="160"/>
      </w:pPr>
      <w:r>
        <w:t>A = Accountable, R = Responsible, C = Consulted, I = Informed. Where a cell shows “A/R,” that role is both accountable and the primary doer for that activity.</w:t>
      </w:r>
    </w:p>
    <w:p w14:paraId="114E4602" w14:textId="77777777" w:rsidR="007355C5" w:rsidRDefault="00AC17C1">
      <w:pPr>
        <w:pBdr>
          <w:left w:val="single" w:sz="12" w:space="8" w:color="B00020"/>
        </w:pBdr>
        <w:spacing w:before="80" w:after="200"/>
        <w:ind w:left="200"/>
      </w:pPr>
      <w:r>
        <w:rPr>
          <w:i/>
          <w:iCs/>
          <w:color w:val="B00020"/>
        </w:rPr>
        <w:lastRenderedPageBreak/>
        <w:t>[PLACEHOLDER — Replace generic roles above with named individuals/teams, and add a target operating model chart and staffing plan by department]</w:t>
      </w:r>
    </w:p>
    <w:p w14:paraId="02E07E17" w14:textId="77777777" w:rsidR="007355C5" w:rsidRDefault="00AC17C1">
      <w:pPr>
        <w:pStyle w:val="Heading2"/>
      </w:pPr>
      <w:bookmarkStart w:id="20" w:name="_Toc241649682"/>
      <w:r>
        <w:t>5.6 Build vs. Buy vs. Partner Decision Framework</w:t>
      </w:r>
      <w:bookmarkEnd w:id="20"/>
    </w:p>
    <w:p w14:paraId="7951F724" w14:textId="77777777" w:rsidR="007355C5" w:rsidRDefault="00AC17C1">
      <w:pPr>
        <w:spacing w:after="160"/>
      </w:pPr>
      <w:r>
        <w:t>Every AI use case entering the intake workflow (Section 5.4) should pass through this decision framework before development begins, so the bank consistently chooses the fastest, lowest-risk path to value rather than defaulting to custom builds.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7355C5" w14:paraId="5FFF5A51" w14:textId="77777777">
        <w:trPr>
          <w:tblHeader/>
        </w:trPr>
        <w:tc>
          <w:tcPr>
            <w:tcW w:w="234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8832886" w14:textId="77777777" w:rsidR="007355C5" w:rsidRDefault="00AC17C1">
            <w:r>
              <w:rPr>
                <w:b/>
                <w:bCs/>
                <w:color w:val="FFFFFF"/>
              </w:rPr>
              <w:t>Decision Factor</w:t>
            </w:r>
          </w:p>
        </w:tc>
        <w:tc>
          <w:tcPr>
            <w:tcW w:w="234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AB6849B" w14:textId="77777777" w:rsidR="007355C5" w:rsidRDefault="00AC17C1">
            <w:r>
              <w:rPr>
                <w:b/>
                <w:bCs/>
                <w:color w:val="FFFFFF"/>
              </w:rPr>
              <w:t>Favors Buy / Azure-Native</w:t>
            </w:r>
          </w:p>
        </w:tc>
        <w:tc>
          <w:tcPr>
            <w:tcW w:w="234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70A05AE" w14:textId="77777777" w:rsidR="007355C5" w:rsidRDefault="00AC17C1">
            <w:r>
              <w:rPr>
                <w:b/>
                <w:bCs/>
                <w:color w:val="FFFFFF"/>
              </w:rPr>
              <w:t>Favors Partner</w:t>
            </w:r>
          </w:p>
        </w:tc>
        <w:tc>
          <w:tcPr>
            <w:tcW w:w="234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6888FBF" w14:textId="77777777" w:rsidR="007355C5" w:rsidRDefault="00AC17C1">
            <w:r>
              <w:rPr>
                <w:b/>
                <w:bCs/>
                <w:color w:val="FFFFFF"/>
              </w:rPr>
              <w:t>Favors Build</w:t>
            </w:r>
          </w:p>
        </w:tc>
      </w:tr>
      <w:tr w:rsidR="007355C5" w14:paraId="02414811"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38BDA6" w14:textId="77777777" w:rsidR="007355C5" w:rsidRDefault="00AC17C1">
            <w:r>
              <w:t>Availability of a fit-for-purpose Azure-native service</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5D07C8C" w14:textId="77777777" w:rsidR="007355C5" w:rsidRDefault="00AC17C1">
            <w:r>
              <w:t>A pre-approved Azure service (e.g., Azure AI Search, Document Intelligence, Azure AI Foundry Content Safety) already meets the requirement</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A46C846" w14:textId="77777777" w:rsidR="007355C5" w:rsidRDefault="00AC17C1">
            <w:r>
              <w:t>Azure covers most, but not all, of the requirement and a partner solution fills a specific gap (e.g., specialist fraud or sanctions screening)</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7DEEDC" w14:textId="77777777" w:rsidR="007355C5" w:rsidRDefault="00AC17C1">
            <w:r>
              <w:t>No Azure-native or partner offering meets the bank-specific requirement</w:t>
            </w:r>
          </w:p>
        </w:tc>
      </w:tr>
      <w:tr w:rsidR="007355C5" w14:paraId="0E12A098"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7654FF" w14:textId="77777777" w:rsidR="007355C5" w:rsidRDefault="00AC17C1">
            <w:r>
              <w:t>Differentiation</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A7838B" w14:textId="77777777" w:rsidR="007355C5" w:rsidRDefault="00AC17C1">
            <w:r>
              <w:t>Use case is a commodity capability with no competitive advantage from customization</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6E5239" w14:textId="77777777" w:rsidR="007355C5" w:rsidRDefault="00AC17C1">
            <w:r>
              <w:t>Use case benefits from domain specialization a partner already provides</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552FAB" w14:textId="77777777" w:rsidR="007355C5" w:rsidRDefault="00AC17C1">
            <w:r>
              <w:t>Use case is a source of competitive advantage warranting bespoke IP</w:t>
            </w:r>
          </w:p>
        </w:tc>
      </w:tr>
      <w:tr w:rsidR="007355C5" w14:paraId="688A6D9A"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A7A93A" w14:textId="77777777" w:rsidR="007355C5" w:rsidRDefault="00AC17C1">
            <w:r>
              <w:t>Time-to-value</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14173F" w14:textId="77777777" w:rsidR="007355C5" w:rsidRDefault="00AC17C1">
            <w:r>
              <w:t>Regulatory or business urgency favors the fastest path</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CCAB6C" w14:textId="77777777" w:rsidR="007355C5" w:rsidRDefault="00AC17C1">
            <w:r>
              <w:t>Partner can deliver faster than an in-house build, with acceptable integration effort</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9D9186B" w14:textId="77777777" w:rsidR="007355C5" w:rsidRDefault="00AC17C1">
            <w:r>
              <w:t>Timeline allows for a full build, validation, and rollout cycle</w:t>
            </w:r>
          </w:p>
        </w:tc>
      </w:tr>
      <w:tr w:rsidR="007355C5" w14:paraId="0C8581E6"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9B97A5" w14:textId="77777777" w:rsidR="007355C5" w:rsidRDefault="00AC17C1">
            <w:r>
              <w:t>Data residency, control, and explainability</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156197" w14:textId="77777777" w:rsidR="007355C5" w:rsidRDefault="00AC17C1">
            <w:r>
              <w:t>Azure-native service meets data residency, transparency, and Responsible AI requirements</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4DD716" w14:textId="77777777" w:rsidR="007355C5" w:rsidRDefault="00AC17C1">
            <w:r>
              <w:t>Partner can meet these requirements under contract and is subject to third-party risk due diligence (Section 13)</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416325" w14:textId="77777777" w:rsidR="007355C5" w:rsidRDefault="00AC17C1">
            <w:r>
              <w:t>Requirement for full model transparency/control that only an in-house build can guarantee</w:t>
            </w:r>
          </w:p>
        </w:tc>
      </w:tr>
      <w:tr w:rsidR="007355C5" w14:paraId="4C54E096"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8D506E7" w14:textId="77777777" w:rsidR="007355C5" w:rsidRDefault="00AC17C1">
            <w:r>
              <w:t>Total cost of ownership</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76CE85" w14:textId="77777777" w:rsidR="007355C5" w:rsidRDefault="00AC17C1">
            <w:r>
              <w:t>Consumption-based Azure pricing is more cost-effective than build or licensing</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DD8EDF" w14:textId="77777777" w:rsidR="007355C5" w:rsidRDefault="00AC17C1">
            <w:r>
              <w:t>Partner licensing plus integration cost is lower than an equivalent in-house build</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BED095" w14:textId="77777777" w:rsidR="007355C5" w:rsidRDefault="00AC17C1">
            <w:r>
              <w:t>Build cost (including ongoing MRM validation and maintenance) is justified by scale or differentiation</w:t>
            </w:r>
          </w:p>
        </w:tc>
      </w:tr>
    </w:tbl>
    <w:p w14:paraId="6F38A917" w14:textId="77777777" w:rsidR="007355C5" w:rsidRDefault="00AC17C1">
      <w:pPr>
        <w:spacing w:after="160"/>
      </w:pPr>
      <w:r>
        <w:t>Regardless of path chosen, every option remains subject to the same AI Governance Council review, risk tiering (Section 7.6), and registration in the AI/Model Inventory (Section 7.5); “buy” and “partner” paths additionally require third-party/vendor due diligence (Section 13).</w:t>
      </w:r>
    </w:p>
    <w:p w14:paraId="6BBBC5F3" w14:textId="77777777" w:rsidR="007355C5" w:rsidRDefault="00AC17C1">
      <w:pPr>
        <w:pBdr>
          <w:left w:val="single" w:sz="12" w:space="8" w:color="B00020"/>
        </w:pBdr>
        <w:spacing w:before="80" w:after="200"/>
        <w:ind w:left="200"/>
      </w:pPr>
      <w:r>
        <w:rPr>
          <w:i/>
          <w:iCs/>
          <w:color w:val="B00020"/>
        </w:rPr>
        <w:lastRenderedPageBreak/>
        <w:t>[PLACEHOLDER — Institution-specific approval thresholds (e.g., spend levels requiring procurement and Council sign-off) and a running log of build/buy/partner decisions by use case]</w:t>
      </w:r>
    </w:p>
    <w:p w14:paraId="1DA5D904" w14:textId="77777777" w:rsidR="007355C5" w:rsidRDefault="00AC17C1">
      <w:r>
        <w:br w:type="page"/>
      </w:r>
    </w:p>
    <w:p w14:paraId="7E832AEB" w14:textId="77777777" w:rsidR="007355C5" w:rsidRDefault="00AC17C1">
      <w:pPr>
        <w:pStyle w:val="Heading1"/>
      </w:pPr>
      <w:bookmarkStart w:id="21" w:name="_Toc241649683"/>
      <w:r>
        <w:lastRenderedPageBreak/>
        <w:t>6. Security</w:t>
      </w:r>
      <w:bookmarkEnd w:id="21"/>
    </w:p>
    <w:p w14:paraId="0912699E" w14:textId="77777777" w:rsidR="007355C5" w:rsidRDefault="00AC17C1">
      <w:pPr>
        <w:spacing w:after="160"/>
      </w:pPr>
      <w:r>
        <w:t>AI systems expand the bank's attack surface in new ways and must be treated as critical infrastructure, subject to the same rigor as core banking systems — plus AI-specific controls, implemented using Microsoft's security stack where the bank runs on Azure.</w:t>
      </w:r>
    </w:p>
    <w:p w14:paraId="226A89C6" w14:textId="77777777" w:rsidR="007355C5" w:rsidRDefault="00AC17C1">
      <w:pPr>
        <w:pStyle w:val="Heading2"/>
      </w:pPr>
      <w:bookmarkStart w:id="22" w:name="_Toc241649684"/>
      <w:r>
        <w:t>6.1 AI-Specific Threats</w:t>
      </w:r>
      <w:bookmarkEnd w:id="22"/>
    </w:p>
    <w:p w14:paraId="6C342D52" w14:textId="77777777" w:rsidR="007355C5" w:rsidRDefault="00AC17C1">
      <w:pPr>
        <w:pStyle w:val="ListParagraph"/>
        <w:numPr>
          <w:ilvl w:val="0"/>
          <w:numId w:val="2"/>
        </w:numPr>
        <w:spacing w:after="80"/>
      </w:pPr>
      <w:r>
        <w:t>Adversarial attacks: inputs crafted to fool models (evasion attacks on fraud/credit models).</w:t>
      </w:r>
    </w:p>
    <w:p w14:paraId="28BB8C11" w14:textId="77777777" w:rsidR="007355C5" w:rsidRDefault="00AC17C1">
      <w:pPr>
        <w:pStyle w:val="ListParagraph"/>
        <w:numPr>
          <w:ilvl w:val="0"/>
          <w:numId w:val="2"/>
        </w:numPr>
        <w:spacing w:after="80"/>
      </w:pPr>
      <w:r>
        <w:t>Data poisoning: manipulation of training or fine-tuning data to bias or backdoor a model.</w:t>
      </w:r>
    </w:p>
    <w:p w14:paraId="3DF92398" w14:textId="77777777" w:rsidR="007355C5" w:rsidRDefault="00AC17C1">
      <w:pPr>
        <w:pStyle w:val="ListParagraph"/>
        <w:numPr>
          <w:ilvl w:val="0"/>
          <w:numId w:val="2"/>
        </w:numPr>
        <w:spacing w:after="80"/>
      </w:pPr>
      <w:r>
        <w:t>Prompt injection and jailbreaking of generative AI / LLM-based assistants and agents built on Azure OpenAI Service.</w:t>
      </w:r>
    </w:p>
    <w:p w14:paraId="19D759A2" w14:textId="77777777" w:rsidR="007355C5" w:rsidRDefault="00AC17C1">
      <w:pPr>
        <w:pStyle w:val="ListParagraph"/>
        <w:numPr>
          <w:ilvl w:val="0"/>
          <w:numId w:val="2"/>
        </w:numPr>
        <w:spacing w:after="80"/>
      </w:pPr>
      <w:r>
        <w:t>Model extraction/inversion: attempts to steal proprietary models or reconstruct sensitive training data.</w:t>
      </w:r>
    </w:p>
    <w:p w14:paraId="75966667" w14:textId="77777777" w:rsidR="007355C5" w:rsidRDefault="00AC17C1">
      <w:pPr>
        <w:pStyle w:val="ListParagraph"/>
        <w:numPr>
          <w:ilvl w:val="0"/>
          <w:numId w:val="2"/>
        </w:numPr>
        <w:spacing w:after="80"/>
      </w:pPr>
      <w:r>
        <w:t>Data leakage via generative AI outputs, embeddings, logs, or third-party model providers.</w:t>
      </w:r>
    </w:p>
    <w:p w14:paraId="25E3735B" w14:textId="77777777" w:rsidR="007355C5" w:rsidRDefault="00AC17C1">
      <w:pPr>
        <w:pStyle w:val="ListParagraph"/>
        <w:numPr>
          <w:ilvl w:val="0"/>
          <w:numId w:val="2"/>
        </w:numPr>
        <w:spacing w:after="80"/>
      </w:pPr>
      <w:r>
        <w:t>Supply chain risk from open-source models, pre-trained weights, and AI vendor platforms, including models sourced from the Azure AI Foundry model catalog.</w:t>
      </w:r>
    </w:p>
    <w:p w14:paraId="21CD404E" w14:textId="77777777" w:rsidR="007355C5" w:rsidRDefault="00AC17C1">
      <w:pPr>
        <w:pStyle w:val="Heading2"/>
      </w:pPr>
      <w:bookmarkStart w:id="23" w:name="_Toc241649685"/>
      <w:r>
        <w:t>6.2 Required Controls</w:t>
      </w:r>
      <w:bookmarkEnd w:id="23"/>
    </w:p>
    <w:p w14:paraId="5A28A66F" w14:textId="77777777" w:rsidR="007355C5" w:rsidRDefault="00AC17C1">
      <w:pPr>
        <w:pStyle w:val="ListParagraph"/>
        <w:numPr>
          <w:ilvl w:val="0"/>
          <w:numId w:val="2"/>
        </w:numPr>
        <w:spacing w:after="80"/>
      </w:pPr>
      <w:r>
        <w:rPr>
          <w:b/>
          <w:bCs/>
        </w:rPr>
        <w:t xml:space="preserve">Secure development lifecycle for AI: </w:t>
      </w:r>
      <w:r>
        <w:t>threat modeling for every model/agent, red-teaming of generative AI before release (including with Azure AI Foundry's built-in safety evaluations), and adversarial robustness testing.</w:t>
      </w:r>
    </w:p>
    <w:p w14:paraId="6485CFB5" w14:textId="77777777" w:rsidR="007355C5" w:rsidRDefault="00AC17C1">
      <w:pPr>
        <w:pStyle w:val="ListParagraph"/>
        <w:numPr>
          <w:ilvl w:val="0"/>
          <w:numId w:val="2"/>
        </w:numPr>
        <w:spacing w:after="80"/>
      </w:pPr>
      <w:r>
        <w:rPr>
          <w:b/>
          <w:bCs/>
        </w:rPr>
        <w:t xml:space="preserve">Data protection: </w:t>
      </w:r>
      <w:r>
        <w:t>encryption in transit and at rest, tokenization/masking of sensitive fields fed to models, Azure Key Vault for keys and secrets, and strict controls on what data can leave the bank's Azure tenant perimeter (including to external AI vendors/APIs).</w:t>
      </w:r>
    </w:p>
    <w:p w14:paraId="7C7E355B" w14:textId="77777777" w:rsidR="007355C5" w:rsidRDefault="00AC17C1">
      <w:pPr>
        <w:pStyle w:val="ListParagraph"/>
        <w:numPr>
          <w:ilvl w:val="0"/>
          <w:numId w:val="2"/>
        </w:numPr>
        <w:spacing w:after="80"/>
      </w:pPr>
      <w:r>
        <w:rPr>
          <w:b/>
          <w:bCs/>
        </w:rPr>
        <w:t xml:space="preserve">Segregation of environments: </w:t>
      </w:r>
      <w:r>
        <w:t>isolated dev/test/prod Azure subscriptions or resource groups for models, with production-grade change control and no direct access to production data from experimentation environments.</w:t>
      </w:r>
    </w:p>
    <w:p w14:paraId="10D1E5C3" w14:textId="77777777" w:rsidR="007355C5" w:rsidRDefault="00AC17C1">
      <w:pPr>
        <w:pStyle w:val="ListParagraph"/>
        <w:numPr>
          <w:ilvl w:val="0"/>
          <w:numId w:val="2"/>
        </w:numPr>
        <w:spacing w:after="80"/>
      </w:pPr>
      <w:r>
        <w:rPr>
          <w:b/>
          <w:bCs/>
        </w:rPr>
        <w:t xml:space="preserve">Agent/tool sandboxing: </w:t>
      </w:r>
      <w:r>
        <w:t>AI agents that can take actions (e.g., initiate a payment, update a record) must operate through tightly scoped, auditable tool interfaces with defined blast-radius limits, enforced via Microsoft Entra ID scoped app permissions.</w:t>
      </w:r>
    </w:p>
    <w:p w14:paraId="5F682D80" w14:textId="77777777" w:rsidR="007355C5" w:rsidRDefault="00AC17C1">
      <w:pPr>
        <w:pStyle w:val="ListParagraph"/>
        <w:numPr>
          <w:ilvl w:val="0"/>
          <w:numId w:val="2"/>
        </w:numPr>
        <w:spacing w:after="80"/>
      </w:pPr>
      <w:r>
        <w:rPr>
          <w:b/>
          <w:bCs/>
        </w:rPr>
        <w:t xml:space="preserve">Guardrails on generative AI: </w:t>
      </w:r>
      <w:r>
        <w:t>Azure AI Content Safety and Azure AI Foundry content filters to block harmful, biased, or off-policy outputs before they reach customers or employees.</w:t>
      </w:r>
    </w:p>
    <w:p w14:paraId="3AA6622A" w14:textId="77777777" w:rsidR="007355C5" w:rsidRDefault="00AC17C1">
      <w:pPr>
        <w:pStyle w:val="ListParagraph"/>
        <w:numPr>
          <w:ilvl w:val="0"/>
          <w:numId w:val="2"/>
        </w:numPr>
        <w:spacing w:after="80"/>
      </w:pPr>
      <w:r>
        <w:rPr>
          <w:b/>
          <w:bCs/>
        </w:rPr>
        <w:t xml:space="preserve">Continuous monitoring: </w:t>
      </w:r>
      <w:r>
        <w:t>logging of all model inputs/outputs, anomaly detection on model behavior, and integration with the bank's Security Operations Center (SOC) via Microsoft Sentinel and Microsoft Defender for Cloud.</w:t>
      </w:r>
    </w:p>
    <w:p w14:paraId="1C10B6DB" w14:textId="77777777" w:rsidR="007355C5" w:rsidRDefault="00AC17C1">
      <w:pPr>
        <w:pStyle w:val="ListParagraph"/>
        <w:numPr>
          <w:ilvl w:val="0"/>
          <w:numId w:val="2"/>
        </w:numPr>
        <w:spacing w:after="80"/>
      </w:pPr>
      <w:r>
        <w:rPr>
          <w:b/>
          <w:bCs/>
        </w:rPr>
        <w:t xml:space="preserve">Vendor/API security review: </w:t>
      </w:r>
      <w:r>
        <w:t>due diligence on any third-party model or AI service, including data residency, retention, and whether the vendor trains on the bank's data; preference for Azure-hosted, contractually governed models over public/unmanaged endpoints.</w:t>
      </w:r>
    </w:p>
    <w:p w14:paraId="4843C1FB" w14:textId="77777777" w:rsidR="007355C5" w:rsidRDefault="00AC17C1">
      <w:pPr>
        <w:pBdr>
          <w:left w:val="single" w:sz="12" w:space="8" w:color="B00020"/>
        </w:pBdr>
        <w:spacing w:before="80" w:after="200"/>
        <w:ind w:left="200"/>
      </w:pPr>
      <w:r>
        <w:rPr>
          <w:i/>
          <w:iCs/>
          <w:color w:val="B00020"/>
        </w:rPr>
        <w:t>[PLACEHOLDER — AI-specific security standards, red-team cadence, and links to enterprise InfoSec policy and Microsoft Defender/Sentinel configuration]</w:t>
      </w:r>
    </w:p>
    <w:p w14:paraId="6A758C87" w14:textId="77777777" w:rsidR="007355C5" w:rsidRDefault="00AC17C1">
      <w:pPr>
        <w:pStyle w:val="Heading1"/>
      </w:pPr>
      <w:bookmarkStart w:id="24" w:name="_Toc241649686"/>
      <w:r>
        <w:lastRenderedPageBreak/>
        <w:t>7. Governance</w:t>
      </w:r>
      <w:bookmarkEnd w:id="24"/>
    </w:p>
    <w:p w14:paraId="3A9D08C9" w14:textId="77777777" w:rsidR="007355C5" w:rsidRDefault="00AC17C1">
      <w:pPr>
        <w:pStyle w:val="Heading2"/>
      </w:pPr>
      <w:bookmarkStart w:id="25" w:name="_Toc241649687"/>
      <w:r>
        <w:t>7.1 AI Governance Framework</w:t>
      </w:r>
      <w:bookmarkEnd w:id="25"/>
    </w:p>
    <w:p w14:paraId="3566D685" w14:textId="77777777" w:rsidR="007355C5" w:rsidRDefault="00AC17C1">
      <w:pPr>
        <w:spacing w:after="160"/>
      </w:pPr>
      <w:r>
        <w:t>Governance ensures AI is developed and used consistently with the bank's risk appetite, values, and regulatory obligations. A strong framework includes clear accountability, an inventory of all AI systems in use, and a tiered control framework proportionate to risk.</w:t>
      </w:r>
    </w:p>
    <w:p w14:paraId="45407B71" w14:textId="77777777" w:rsidR="007355C5" w:rsidRDefault="00AC17C1">
      <w:pPr>
        <w:pStyle w:val="ListParagraph"/>
        <w:numPr>
          <w:ilvl w:val="0"/>
          <w:numId w:val="2"/>
        </w:numPr>
        <w:spacing w:after="80"/>
      </w:pPr>
      <w:r>
        <w:rPr>
          <w:b/>
          <w:bCs/>
        </w:rPr>
        <w:t xml:space="preserve">AI Governance Council: </w:t>
      </w:r>
      <w:r>
        <w:t>cross-functional body (CAIO, CRO, CCO, CIO, legal, business leaders) that approves the AI policy, sets risk appetite for AI, and approves high-risk use cases (charter in Section 7.4).</w:t>
      </w:r>
    </w:p>
    <w:p w14:paraId="55CC70B2" w14:textId="77777777" w:rsidR="007355C5" w:rsidRDefault="00AC17C1">
      <w:pPr>
        <w:pStyle w:val="ListParagraph"/>
        <w:numPr>
          <w:ilvl w:val="0"/>
          <w:numId w:val="2"/>
        </w:numPr>
        <w:spacing w:after="80"/>
      </w:pPr>
      <w:r>
        <w:rPr>
          <w:b/>
          <w:bCs/>
        </w:rPr>
        <w:t xml:space="preserve">AI/Model Inventory: </w:t>
      </w:r>
      <w:r>
        <w:t>a single system of record for every model and AI use case in production or development, including owner, risk tier, data used, and validation status. A governance, risk, and compliance (GRC) tool is the authoritative system of record; the Azure AI Foundry model catalog and deployment registry should feed it as a reconciliation input, supplemented by a periodic attestation process to capture embedded SaaS AI, vendor models, and other unmanaged (“shadow AI”) use cases that no platform registry can see (templa</w:t>
      </w:r>
      <w:r>
        <w:t>te in Section 7.5).</w:t>
      </w:r>
    </w:p>
    <w:p w14:paraId="1F0C43EB" w14:textId="77777777" w:rsidR="007355C5" w:rsidRDefault="00AC17C1">
      <w:pPr>
        <w:pStyle w:val="ListParagraph"/>
        <w:numPr>
          <w:ilvl w:val="0"/>
          <w:numId w:val="2"/>
        </w:numPr>
        <w:spacing w:after="80"/>
      </w:pPr>
      <w:r>
        <w:rPr>
          <w:b/>
          <w:bCs/>
        </w:rPr>
        <w:t xml:space="preserve">Policy and Standards: </w:t>
      </w:r>
      <w:r>
        <w:t>an enterprise AI policy, acceptable use standards for generative AI, and a responsible AI standard covering fairness, transparency, and human oversight.</w:t>
      </w:r>
    </w:p>
    <w:p w14:paraId="34964D63" w14:textId="77777777" w:rsidR="007355C5" w:rsidRDefault="00AC17C1">
      <w:pPr>
        <w:pStyle w:val="ListParagraph"/>
        <w:numPr>
          <w:ilvl w:val="0"/>
          <w:numId w:val="2"/>
        </w:numPr>
        <w:spacing w:after="80"/>
      </w:pPr>
      <w:r>
        <w:rPr>
          <w:b/>
          <w:bCs/>
        </w:rPr>
        <w:t xml:space="preserve">Three Lines of Defense: </w:t>
      </w:r>
      <w:r>
        <w:t>business/model owners (1st line), independent model risk management and compliance (2nd line), and internal audit (3rd line) each play a distinct role in AI oversight.</w:t>
      </w:r>
    </w:p>
    <w:p w14:paraId="05239F97" w14:textId="77777777" w:rsidR="007355C5" w:rsidRDefault="00AC17C1">
      <w:pPr>
        <w:pStyle w:val="Heading2"/>
      </w:pPr>
      <w:bookmarkStart w:id="26" w:name="_Toc241649688"/>
      <w:r>
        <w:t>7.2 Model Risk Management (MRM)</w:t>
      </w:r>
      <w:bookmarkEnd w:id="26"/>
    </w:p>
    <w:p w14:paraId="42AE286A" w14:textId="77777777" w:rsidR="007355C5" w:rsidRDefault="00AC17C1">
      <w:pPr>
        <w:spacing w:after="160"/>
      </w:pPr>
      <w:r>
        <w:t>Model risk management practices must be extended to cover machine learning and generative AI, including foundation models the bank does not fully control, and must be kept current with the fast-evolving expectations described in Section 10 (e.g., OSFI Guideline E-23 in Canada; the 2026 U.S. interagency model risk management guidance, which currently excludes generative/agentic AI pending further rulemaking).</w:t>
      </w:r>
    </w:p>
    <w:p w14:paraId="2E514C11" w14:textId="77777777" w:rsidR="007355C5" w:rsidRDefault="00AC17C1">
      <w:pPr>
        <w:pStyle w:val="ListParagraph"/>
        <w:numPr>
          <w:ilvl w:val="0"/>
          <w:numId w:val="2"/>
        </w:numPr>
        <w:spacing w:after="80"/>
      </w:pPr>
      <w:r>
        <w:t>Independent validation prior to production deployment and at defined re-validation intervals.</w:t>
      </w:r>
    </w:p>
    <w:p w14:paraId="7FDFEEAE" w14:textId="77777777" w:rsidR="007355C5" w:rsidRDefault="00AC17C1">
      <w:pPr>
        <w:pStyle w:val="ListParagraph"/>
        <w:numPr>
          <w:ilvl w:val="0"/>
          <w:numId w:val="2"/>
        </w:numPr>
        <w:spacing w:after="80"/>
      </w:pPr>
      <w:r>
        <w:t>Documentation of model purpose, assumptions, limitations, and known failure modes, tracked in the Azure AI Foundry model catalog/registry.</w:t>
      </w:r>
    </w:p>
    <w:p w14:paraId="4CD4867E" w14:textId="77777777" w:rsidR="007355C5" w:rsidRDefault="00AC17C1">
      <w:pPr>
        <w:pStyle w:val="ListParagraph"/>
        <w:numPr>
          <w:ilvl w:val="0"/>
          <w:numId w:val="2"/>
        </w:numPr>
        <w:spacing w:after="80"/>
      </w:pPr>
      <w:r>
        <w:t>Ongoing performance monitoring, drift detection, and defined model retirement criteria using Azure Monitor and Application Insights dashboards.</w:t>
      </w:r>
    </w:p>
    <w:p w14:paraId="10385E3A" w14:textId="77777777" w:rsidR="007355C5" w:rsidRDefault="00AC17C1">
      <w:pPr>
        <w:pStyle w:val="ListParagraph"/>
        <w:numPr>
          <w:ilvl w:val="0"/>
          <w:numId w:val="2"/>
        </w:numPr>
        <w:spacing w:after="80"/>
      </w:pPr>
      <w:r>
        <w:t>Extended MRM approach for third-party/foundation models (including those accessed via Azure OpenAI Service) where full transparency into training data/weights is not available (vendor attestations, output testing, contractual guarantees).</w:t>
      </w:r>
    </w:p>
    <w:p w14:paraId="5D83915D" w14:textId="77777777" w:rsidR="007355C5" w:rsidRDefault="00AC17C1">
      <w:pPr>
        <w:pStyle w:val="Heading2"/>
      </w:pPr>
      <w:bookmarkStart w:id="27" w:name="_Toc241649689"/>
      <w:r>
        <w:t>7.3 Responsible AI</w:t>
      </w:r>
      <w:bookmarkEnd w:id="27"/>
    </w:p>
    <w:p w14:paraId="1B6C82C4" w14:textId="77777777" w:rsidR="007355C5" w:rsidRDefault="00AC17C1">
      <w:pPr>
        <w:pStyle w:val="ListParagraph"/>
        <w:numPr>
          <w:ilvl w:val="0"/>
          <w:numId w:val="2"/>
        </w:numPr>
        <w:spacing w:after="80"/>
      </w:pPr>
      <w:r>
        <w:t>Fairness and bias testing across protected/prohibited attributes in credit, hiring, and pricing models, using the Azure AI Foundry Responsible AI dashboard (fairness, error analysis, and interpretability tools).</w:t>
      </w:r>
    </w:p>
    <w:p w14:paraId="2CE154D9" w14:textId="77777777" w:rsidR="007355C5" w:rsidRDefault="00AC17C1">
      <w:pPr>
        <w:pStyle w:val="ListParagraph"/>
        <w:numPr>
          <w:ilvl w:val="0"/>
          <w:numId w:val="2"/>
        </w:numPr>
        <w:spacing w:after="80"/>
      </w:pPr>
      <w:r>
        <w:t>Explainability appropriate to the decision's impact (e.g., adverse action reasons for credit decisions).</w:t>
      </w:r>
    </w:p>
    <w:p w14:paraId="5B80D2C9" w14:textId="77777777" w:rsidR="007355C5" w:rsidRDefault="00AC17C1">
      <w:pPr>
        <w:pStyle w:val="ListParagraph"/>
        <w:numPr>
          <w:ilvl w:val="0"/>
          <w:numId w:val="2"/>
        </w:numPr>
        <w:spacing w:after="80"/>
      </w:pPr>
      <w:r>
        <w:lastRenderedPageBreak/>
        <w:t>Transparency with customers when they are interacting with or being assessed by AI.</w:t>
      </w:r>
    </w:p>
    <w:p w14:paraId="78234D92" w14:textId="77777777" w:rsidR="007355C5" w:rsidRDefault="00AC17C1">
      <w:pPr>
        <w:pStyle w:val="ListParagraph"/>
        <w:numPr>
          <w:ilvl w:val="0"/>
          <w:numId w:val="2"/>
        </w:numPr>
        <w:spacing w:after="80"/>
      </w:pPr>
      <w:r>
        <w:t>Human oversight and the right to escalate to a human for significant decisions.</w:t>
      </w:r>
    </w:p>
    <w:p w14:paraId="7D63D119" w14:textId="77777777" w:rsidR="007355C5" w:rsidRDefault="00AC17C1">
      <w:pPr>
        <w:pStyle w:val="Heading2"/>
      </w:pPr>
      <w:bookmarkStart w:id="28" w:name="_Toc241649690"/>
      <w:r>
        <w:t>7.4 AI Governance Council Charter</w:t>
      </w:r>
      <w:bookmarkEnd w:id="28"/>
    </w:p>
    <w:p w14:paraId="79599E0B" w14:textId="77777777" w:rsidR="007355C5" w:rsidRDefault="00AC17C1">
      <w:pPr>
        <w:spacing w:after="160"/>
      </w:pPr>
      <w:r>
        <w:t>The AI Governance Council (“the Council”) is the senior cross-functional body accountable for the bank's responsible adoption of artificial intelligence. It is the single decision-making authority for AI risk appetite, high-risk use case approval, and this playbook's standards. The charter below is a starting template for the institution to adopt and tailor.</w:t>
      </w:r>
    </w:p>
    <w:p w14:paraId="7E1116D6" w14:textId="77777777" w:rsidR="007355C5" w:rsidRDefault="00AC17C1">
      <w:pPr>
        <w:pStyle w:val="Heading3"/>
      </w:pPr>
      <w:bookmarkStart w:id="29" w:name="_Toc241649691"/>
      <w:r>
        <w:t>7.4.1 Mandate</w:t>
      </w:r>
      <w:bookmarkEnd w:id="29"/>
    </w:p>
    <w:p w14:paraId="70A5FFE8" w14:textId="77777777" w:rsidR="007355C5" w:rsidRDefault="00AC17C1">
      <w:pPr>
        <w:pStyle w:val="ListParagraph"/>
        <w:numPr>
          <w:ilvl w:val="0"/>
          <w:numId w:val="2"/>
        </w:numPr>
        <w:spacing w:after="80"/>
      </w:pPr>
      <w:r>
        <w:t>Own and approve the enterprise AI policy, the Responsible AI standard, and this playbook, including periodic updates.</w:t>
      </w:r>
    </w:p>
    <w:p w14:paraId="2B576457" w14:textId="77777777" w:rsidR="007355C5" w:rsidRDefault="00AC17C1">
      <w:pPr>
        <w:pStyle w:val="ListParagraph"/>
        <w:numPr>
          <w:ilvl w:val="0"/>
          <w:numId w:val="2"/>
        </w:numPr>
        <w:spacing w:after="80"/>
      </w:pPr>
      <w:r>
        <w:t>Set the bank's AI risk appetite and approve the risk-tiering rubric (Section 7.6) used to classify every use case.</w:t>
      </w:r>
    </w:p>
    <w:p w14:paraId="52B11739" w14:textId="77777777" w:rsidR="007355C5" w:rsidRDefault="00AC17C1">
      <w:pPr>
        <w:pStyle w:val="ListParagraph"/>
        <w:numPr>
          <w:ilvl w:val="0"/>
          <w:numId w:val="2"/>
        </w:numPr>
        <w:spacing w:after="80"/>
      </w:pPr>
      <w:r>
        <w:t>Approve all Tier 1 (high-risk/critical) AI use cases before production deployment and review Tier 2 use cases on an exception basis.</w:t>
      </w:r>
    </w:p>
    <w:p w14:paraId="6ED4D9B2" w14:textId="77777777" w:rsidR="007355C5" w:rsidRDefault="00AC17C1">
      <w:pPr>
        <w:pStyle w:val="ListParagraph"/>
        <w:numPr>
          <w:ilvl w:val="0"/>
          <w:numId w:val="2"/>
        </w:numPr>
        <w:spacing w:after="80"/>
      </w:pPr>
      <w:r>
        <w:t>Maintain oversight of the AI/Model Inventory (Section 7.5) and require remediation of overdue validations or unmanaged (“shadow AI”) use cases.</w:t>
      </w:r>
    </w:p>
    <w:p w14:paraId="76B06265" w14:textId="77777777" w:rsidR="007355C5" w:rsidRDefault="00AC17C1">
      <w:pPr>
        <w:pStyle w:val="ListParagraph"/>
        <w:numPr>
          <w:ilvl w:val="0"/>
          <w:numId w:val="2"/>
        </w:numPr>
        <w:spacing w:after="80"/>
      </w:pPr>
      <w:r>
        <w:t>Escalate systemic AI risk issues to the Board Risk Committee and receive escalations from the model risk management, compliance, and security functions.</w:t>
      </w:r>
    </w:p>
    <w:p w14:paraId="67BBA9B6" w14:textId="77777777" w:rsidR="007355C5" w:rsidRDefault="00AC17C1">
      <w:pPr>
        <w:pStyle w:val="Heading3"/>
      </w:pPr>
      <w:bookmarkStart w:id="30" w:name="_Toc241649692"/>
      <w:r>
        <w:t>7.4.2 Membership and Voting</w:t>
      </w:r>
      <w:bookmarkEnd w:id="3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4740"/>
        <w:gridCol w:w="1500"/>
      </w:tblGrid>
      <w:tr w:rsidR="007355C5" w14:paraId="432E9A65" w14:textId="77777777">
        <w:trPr>
          <w:tblHeader/>
        </w:trPr>
        <w:tc>
          <w:tcPr>
            <w:tcW w:w="312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56A900C" w14:textId="77777777" w:rsidR="007355C5" w:rsidRDefault="00AC17C1">
            <w:r>
              <w:rPr>
                <w:b/>
                <w:bCs/>
                <w:color w:val="FFFFFF"/>
              </w:rPr>
              <w:t>Role</w:t>
            </w:r>
          </w:p>
        </w:tc>
        <w:tc>
          <w:tcPr>
            <w:tcW w:w="474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424E98A" w14:textId="77777777" w:rsidR="007355C5" w:rsidRDefault="00AC17C1">
            <w:r>
              <w:rPr>
                <w:b/>
                <w:bCs/>
                <w:color w:val="FFFFFF"/>
              </w:rPr>
              <w:t>Council Function</w:t>
            </w:r>
          </w:p>
        </w:tc>
        <w:tc>
          <w:tcPr>
            <w:tcW w:w="1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7200A0F" w14:textId="77777777" w:rsidR="007355C5" w:rsidRDefault="00AC17C1">
            <w:r>
              <w:rPr>
                <w:b/>
                <w:bCs/>
                <w:color w:val="FFFFFF"/>
              </w:rPr>
              <w:t>Voting</w:t>
            </w:r>
          </w:p>
        </w:tc>
      </w:tr>
      <w:tr w:rsidR="007355C5" w14:paraId="674A68DD" w14:textId="77777777">
        <w:tc>
          <w:tcPr>
            <w:tcW w:w="31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E5F054" w14:textId="77777777" w:rsidR="007355C5" w:rsidRDefault="00AC17C1">
            <w:r>
              <w:rPr>
                <w:b/>
                <w:bCs/>
              </w:rPr>
              <w:t>Chief AI Officer (Chair)</w:t>
            </w:r>
          </w:p>
        </w:tc>
        <w:tc>
          <w:tcPr>
            <w:tcW w:w="47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41A5FA" w14:textId="77777777" w:rsidR="007355C5" w:rsidRDefault="00AC17C1">
            <w:r>
              <w:t>Sets agenda, owns the AI strategy and playbook, casts tie-breaking vote</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892B2E" w14:textId="77777777" w:rsidR="007355C5" w:rsidRDefault="00AC17C1">
            <w:r>
              <w:t>Voting</w:t>
            </w:r>
          </w:p>
        </w:tc>
      </w:tr>
      <w:tr w:rsidR="007355C5" w14:paraId="78AD729A" w14:textId="77777777">
        <w:tc>
          <w:tcPr>
            <w:tcW w:w="312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CA5C85E" w14:textId="77777777" w:rsidR="007355C5" w:rsidRDefault="00AC17C1">
            <w:r>
              <w:rPr>
                <w:b/>
                <w:bCs/>
              </w:rPr>
              <w:t>Chief Risk Officer</w:t>
            </w:r>
          </w:p>
        </w:tc>
        <w:tc>
          <w:tcPr>
            <w:tcW w:w="474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F048F12" w14:textId="77777777" w:rsidR="007355C5" w:rsidRDefault="00AC17C1">
            <w:r>
              <w:t>Owns enterprise risk appetite; sponsors Model Risk Management standards</w:t>
            </w:r>
          </w:p>
        </w:tc>
        <w:tc>
          <w:tcPr>
            <w:tcW w:w="1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1CF185F9" w14:textId="77777777" w:rsidR="007355C5" w:rsidRDefault="00AC17C1">
            <w:r>
              <w:t>Voting</w:t>
            </w:r>
          </w:p>
        </w:tc>
      </w:tr>
      <w:tr w:rsidR="007355C5" w14:paraId="7DBCC8B8" w14:textId="77777777">
        <w:tc>
          <w:tcPr>
            <w:tcW w:w="31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127349" w14:textId="77777777" w:rsidR="007355C5" w:rsidRDefault="00AC17C1">
            <w:r>
              <w:rPr>
                <w:b/>
                <w:bCs/>
              </w:rPr>
              <w:t>Chief Compliance Officer</w:t>
            </w:r>
          </w:p>
        </w:tc>
        <w:tc>
          <w:tcPr>
            <w:tcW w:w="47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DD7C61" w14:textId="77777777" w:rsidR="007355C5" w:rsidRDefault="00AC17C1">
            <w:r>
              <w:t>Ensures regulatory and fair-lending compliance</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F96C4D" w14:textId="77777777" w:rsidR="007355C5" w:rsidRDefault="00AC17C1">
            <w:r>
              <w:t>Voting</w:t>
            </w:r>
          </w:p>
        </w:tc>
      </w:tr>
      <w:tr w:rsidR="007355C5" w14:paraId="223D8914" w14:textId="77777777">
        <w:tc>
          <w:tcPr>
            <w:tcW w:w="312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4E6D39B2" w14:textId="77777777" w:rsidR="007355C5" w:rsidRDefault="00AC17C1">
            <w:r>
              <w:rPr>
                <w:b/>
                <w:bCs/>
              </w:rPr>
              <w:t>Chief Information Security Officer</w:t>
            </w:r>
          </w:p>
        </w:tc>
        <w:tc>
          <w:tcPr>
            <w:tcW w:w="474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4F4B4F6F" w14:textId="77777777" w:rsidR="007355C5" w:rsidRDefault="00AC17C1">
            <w:r>
              <w:t>Owns AI-specific security and Azure platform controls</w:t>
            </w:r>
          </w:p>
        </w:tc>
        <w:tc>
          <w:tcPr>
            <w:tcW w:w="1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17333323" w14:textId="77777777" w:rsidR="007355C5" w:rsidRDefault="00AC17C1">
            <w:r>
              <w:t>Voting</w:t>
            </w:r>
          </w:p>
        </w:tc>
      </w:tr>
      <w:tr w:rsidR="007355C5" w14:paraId="241950EE" w14:textId="77777777">
        <w:tc>
          <w:tcPr>
            <w:tcW w:w="31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C0830F" w14:textId="77777777" w:rsidR="007355C5" w:rsidRDefault="00AC17C1">
            <w:r>
              <w:rPr>
                <w:b/>
                <w:bCs/>
              </w:rPr>
              <w:t>Chief Information/Technology Officer</w:t>
            </w:r>
          </w:p>
        </w:tc>
        <w:tc>
          <w:tcPr>
            <w:tcW w:w="47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70922B" w14:textId="77777777" w:rsidR="007355C5" w:rsidRDefault="00AC17C1">
            <w:r>
              <w:t>Owns the Azure platform, engineering standards, and MLOps</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A44C8A" w14:textId="77777777" w:rsidR="007355C5" w:rsidRDefault="00AC17C1">
            <w:r>
              <w:t>Voting</w:t>
            </w:r>
          </w:p>
        </w:tc>
      </w:tr>
      <w:tr w:rsidR="007355C5" w14:paraId="163EB154" w14:textId="77777777">
        <w:tc>
          <w:tcPr>
            <w:tcW w:w="312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7A428B9B" w14:textId="77777777" w:rsidR="007355C5" w:rsidRDefault="00AC17C1">
            <w:r>
              <w:rPr>
                <w:b/>
                <w:bCs/>
              </w:rPr>
              <w:t>General Counsel / Legal</w:t>
            </w:r>
          </w:p>
        </w:tc>
        <w:tc>
          <w:tcPr>
            <w:tcW w:w="474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5F2AEA5" w14:textId="77777777" w:rsidR="007355C5" w:rsidRDefault="00AC17C1">
            <w:r>
              <w:t>Reviews legal, contractual, and liability exposure</w:t>
            </w:r>
          </w:p>
        </w:tc>
        <w:tc>
          <w:tcPr>
            <w:tcW w:w="1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A22DB2A" w14:textId="77777777" w:rsidR="007355C5" w:rsidRDefault="00AC17C1">
            <w:r>
              <w:t>Voting</w:t>
            </w:r>
          </w:p>
        </w:tc>
      </w:tr>
      <w:tr w:rsidR="007355C5" w14:paraId="765C4574" w14:textId="77777777">
        <w:tc>
          <w:tcPr>
            <w:tcW w:w="31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259989" w14:textId="77777777" w:rsidR="007355C5" w:rsidRDefault="00AC17C1">
            <w:r>
              <w:rPr>
                <w:b/>
                <w:bCs/>
              </w:rPr>
              <w:t>Business Line Leaders (rotating)</w:t>
            </w:r>
          </w:p>
        </w:tc>
        <w:tc>
          <w:tcPr>
            <w:tcW w:w="47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801B8D" w14:textId="77777777" w:rsidR="007355C5" w:rsidRDefault="00AC17C1">
            <w:r>
              <w:t>Represent department priorities and use case sponsorship</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ADB096" w14:textId="77777777" w:rsidR="007355C5" w:rsidRDefault="00AC17C1">
            <w:r>
              <w:t>Voting (use-case-specific)</w:t>
            </w:r>
          </w:p>
        </w:tc>
      </w:tr>
      <w:tr w:rsidR="007355C5" w14:paraId="5FF95384" w14:textId="77777777">
        <w:tc>
          <w:tcPr>
            <w:tcW w:w="312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4CE1609C" w14:textId="77777777" w:rsidR="007355C5" w:rsidRDefault="00AC17C1">
            <w:r>
              <w:rPr>
                <w:b/>
                <w:bCs/>
              </w:rPr>
              <w:t>Head of Model Risk Management</w:t>
            </w:r>
          </w:p>
        </w:tc>
        <w:tc>
          <w:tcPr>
            <w:tcW w:w="474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7D44290B" w14:textId="77777777" w:rsidR="007355C5" w:rsidRDefault="00AC17C1">
            <w:r>
              <w:t>Presents validation results and model inventory status</w:t>
            </w:r>
          </w:p>
        </w:tc>
        <w:tc>
          <w:tcPr>
            <w:tcW w:w="1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AE78C2C" w14:textId="77777777" w:rsidR="007355C5" w:rsidRDefault="00AC17C1">
            <w:r>
              <w:t>Non-voting, advisory</w:t>
            </w:r>
          </w:p>
        </w:tc>
      </w:tr>
      <w:tr w:rsidR="007355C5" w14:paraId="2CCF8CE0" w14:textId="77777777">
        <w:tc>
          <w:tcPr>
            <w:tcW w:w="31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05DF7E" w14:textId="77777777" w:rsidR="007355C5" w:rsidRDefault="00AC17C1">
            <w:r>
              <w:rPr>
                <w:b/>
                <w:bCs/>
              </w:rPr>
              <w:lastRenderedPageBreak/>
              <w:t>Head of Data Governance</w:t>
            </w:r>
          </w:p>
        </w:tc>
        <w:tc>
          <w:tcPr>
            <w:tcW w:w="47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5BDE3C" w14:textId="77777777" w:rsidR="007355C5" w:rsidRDefault="00AC17C1">
            <w:r>
              <w:t>Reports on data quality, lineage, and Microsoft Purview controls</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696834" w14:textId="77777777" w:rsidR="007355C5" w:rsidRDefault="00AC17C1">
            <w:r>
              <w:t>Non-voting, advisory</w:t>
            </w:r>
          </w:p>
        </w:tc>
      </w:tr>
      <w:tr w:rsidR="007355C5" w14:paraId="42D439AA" w14:textId="77777777">
        <w:tc>
          <w:tcPr>
            <w:tcW w:w="312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15C3C20" w14:textId="77777777" w:rsidR="007355C5" w:rsidRDefault="00AC17C1">
            <w:r>
              <w:rPr>
                <w:b/>
                <w:bCs/>
              </w:rPr>
              <w:t>Internal Audit (observer)</w:t>
            </w:r>
          </w:p>
        </w:tc>
        <w:tc>
          <w:tcPr>
            <w:tcW w:w="474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A7B6DCB" w14:textId="77777777" w:rsidR="007355C5" w:rsidRDefault="00AC17C1">
            <w:r>
              <w:t>Independent oversight; no operational decision role</w:t>
            </w:r>
          </w:p>
        </w:tc>
        <w:tc>
          <w:tcPr>
            <w:tcW w:w="1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C2FDA3E" w14:textId="77777777" w:rsidR="007355C5" w:rsidRDefault="00AC17C1">
            <w:r>
              <w:t>Non-voting, observer</w:t>
            </w:r>
          </w:p>
        </w:tc>
      </w:tr>
    </w:tbl>
    <w:p w14:paraId="62B510FD" w14:textId="77777777" w:rsidR="007355C5" w:rsidRDefault="007355C5">
      <w:pPr>
        <w:spacing w:before="200"/>
      </w:pPr>
    </w:p>
    <w:p w14:paraId="575998C5" w14:textId="77777777" w:rsidR="007355C5" w:rsidRDefault="00AC17C1">
      <w:pPr>
        <w:pStyle w:val="Heading3"/>
      </w:pPr>
      <w:bookmarkStart w:id="31" w:name="_Toc241649693"/>
      <w:r>
        <w:t>7.4.3 Cadence and Escalation</w:t>
      </w:r>
      <w:bookmarkEnd w:id="31"/>
    </w:p>
    <w:p w14:paraId="234695C2" w14:textId="77777777" w:rsidR="007355C5" w:rsidRDefault="00AC17C1">
      <w:pPr>
        <w:pStyle w:val="ListParagraph"/>
        <w:numPr>
          <w:ilvl w:val="0"/>
          <w:numId w:val="2"/>
        </w:numPr>
        <w:spacing w:after="80"/>
      </w:pPr>
      <w:r>
        <w:t>Standing Council meeting: monthly, or bi-weekly during the Foundation phase (Section 5.3).</w:t>
      </w:r>
    </w:p>
    <w:p w14:paraId="65EC054C" w14:textId="77777777" w:rsidR="007355C5" w:rsidRDefault="00AC17C1">
      <w:pPr>
        <w:pStyle w:val="ListParagraph"/>
        <w:numPr>
          <w:ilvl w:val="0"/>
          <w:numId w:val="2"/>
        </w:numPr>
        <w:spacing w:after="80"/>
      </w:pPr>
      <w:r>
        <w:t>Emergency session: convened within 2 business days for a Severity 1 AI incident (Section 12) or a Tier 1 use case requiring urgent approval.</w:t>
      </w:r>
    </w:p>
    <w:p w14:paraId="2A941BF0" w14:textId="77777777" w:rsidR="007355C5" w:rsidRDefault="00AC17C1">
      <w:pPr>
        <w:pStyle w:val="ListParagraph"/>
        <w:numPr>
          <w:ilvl w:val="0"/>
          <w:numId w:val="2"/>
        </w:numPr>
        <w:spacing w:after="80"/>
      </w:pPr>
      <w:r>
        <w:t>Quarterly reporting to the Board Risk Committee on the AI/Model Inventory, incident history, and program KPIs (Section 16).</w:t>
      </w:r>
    </w:p>
    <w:p w14:paraId="0F008C2D" w14:textId="77777777" w:rsidR="007355C5" w:rsidRDefault="00AC17C1">
      <w:pPr>
        <w:pStyle w:val="ListParagraph"/>
        <w:numPr>
          <w:ilvl w:val="0"/>
          <w:numId w:val="2"/>
        </w:numPr>
        <w:spacing w:after="80"/>
      </w:pPr>
      <w:r>
        <w:t>Decisions are recorded in formal minutes and logged against the relevant entry in the AI/Model Inventory (Section 7.5) for audit traceability.</w:t>
      </w:r>
    </w:p>
    <w:p w14:paraId="230E407D" w14:textId="77777777" w:rsidR="007355C5" w:rsidRDefault="00AC17C1">
      <w:pPr>
        <w:pBdr>
          <w:left w:val="single" w:sz="12" w:space="8" w:color="B00020"/>
        </w:pBdr>
        <w:spacing w:before="80" w:after="200"/>
        <w:ind w:left="200"/>
      </w:pPr>
      <w:r>
        <w:rPr>
          <w:i/>
          <w:iCs/>
          <w:color w:val="B00020"/>
        </w:rPr>
        <w:t>[PLACEHOLDER — Confirm final membership, quorum rules, and reporting line into the institution's existing board/committee structure]</w:t>
      </w:r>
    </w:p>
    <w:p w14:paraId="74CCC057" w14:textId="77777777" w:rsidR="007355C5" w:rsidRDefault="00AC17C1">
      <w:pPr>
        <w:pStyle w:val="Heading2"/>
      </w:pPr>
      <w:bookmarkStart w:id="32" w:name="_Toc241649694"/>
      <w:r>
        <w:t>7.5 AI / Model Inventory Template</w:t>
      </w:r>
      <w:bookmarkEnd w:id="32"/>
    </w:p>
    <w:p w14:paraId="6DFBCE00" w14:textId="77777777" w:rsidR="007355C5" w:rsidRDefault="00AC17C1">
      <w:pPr>
        <w:spacing w:after="160"/>
      </w:pPr>
      <w:r>
        <w:t>Every AI use case — whether a custom model, an Azure AI Foundry agent, or a vendor/SaaS capability with embedded AI — must be registered in a single AI/Model Inventory before it reaches production. The inventory is the Council's and the regulator's primary window into what AI the bank is actually running. The table below defines the required fields; the institution's live inventory should be maintained as a structured system of record in a governance, risk, and compliance (GRC) tool, which is the single aut</w:t>
      </w:r>
      <w:r>
        <w:t>horitative record, not a static document. The Azure AI Foundry model catalog/registry and other Azure platform registries should feed the GRC tool as reconciliation inputs, but cannot alone populate it: they cannot see embedded SaaS AI, non-Azure/vendor models, or other unmanaged (“shadow AI”) use cases, so a recurring business-line attestation process is required to surface those and keep the inventory complete.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6460"/>
      </w:tblGrid>
      <w:tr w:rsidR="007355C5" w14:paraId="6259B9D5" w14:textId="77777777">
        <w:trPr>
          <w:tblHeader/>
        </w:trPr>
        <w:tc>
          <w:tcPr>
            <w:tcW w:w="2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01AD4B3" w14:textId="77777777" w:rsidR="007355C5" w:rsidRDefault="00AC17C1">
            <w:r>
              <w:rPr>
                <w:b/>
                <w:bCs/>
                <w:color w:val="FFFFFF"/>
              </w:rPr>
              <w:t>Field</w:t>
            </w:r>
          </w:p>
        </w:tc>
        <w:tc>
          <w:tcPr>
            <w:tcW w:w="64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05EDD39" w14:textId="77777777" w:rsidR="007355C5" w:rsidRDefault="00AC17C1">
            <w:r>
              <w:rPr>
                <w:b/>
                <w:bCs/>
                <w:color w:val="FFFFFF"/>
              </w:rPr>
              <w:t>Description</w:t>
            </w:r>
          </w:p>
        </w:tc>
      </w:tr>
      <w:tr w:rsidR="007355C5" w14:paraId="08CA6098" w14:textId="77777777">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3B1053" w14:textId="77777777" w:rsidR="007355C5" w:rsidRDefault="00AC17C1">
            <w:r>
              <w:rPr>
                <w:b/>
                <w:bCs/>
              </w:rPr>
              <w:t>Use Case / Model ID</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EE01DE" w14:textId="77777777" w:rsidR="007355C5" w:rsidRDefault="00AC17C1">
            <w:r>
              <w:t>Unique identifier, assigned at intake and used across all governance artifacts.</w:t>
            </w:r>
          </w:p>
        </w:tc>
      </w:tr>
      <w:tr w:rsidR="007355C5" w14:paraId="369DD440" w14:textId="77777777">
        <w:tc>
          <w:tcPr>
            <w:tcW w:w="2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56E84A82" w14:textId="77777777" w:rsidR="007355C5" w:rsidRDefault="00AC17C1">
            <w:r>
              <w:rPr>
                <w:b/>
                <w:bCs/>
              </w:rPr>
              <w:t>Name &amp; Description</w:t>
            </w:r>
          </w:p>
        </w:tc>
        <w:tc>
          <w:tcPr>
            <w:tcW w:w="6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87F4C46" w14:textId="77777777" w:rsidR="007355C5" w:rsidRDefault="00AC17C1">
            <w:r>
              <w:t>Plain-language description of what the model/agent does and the business problem it solves.</w:t>
            </w:r>
          </w:p>
        </w:tc>
      </w:tr>
      <w:tr w:rsidR="007355C5" w14:paraId="35C63001" w14:textId="77777777">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E46547" w14:textId="77777777" w:rsidR="007355C5" w:rsidRDefault="00AC17C1">
            <w:r>
              <w:rPr>
                <w:b/>
                <w:bCs/>
              </w:rPr>
              <w:t>Business Owner</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0E4050" w14:textId="77777777" w:rsidR="007355C5" w:rsidRDefault="00AC17C1">
            <w:r>
              <w:t>Named executive accountable for the business outcome and continued need for the use case.</w:t>
            </w:r>
          </w:p>
        </w:tc>
      </w:tr>
      <w:tr w:rsidR="007355C5" w14:paraId="2A321A0A" w14:textId="77777777">
        <w:tc>
          <w:tcPr>
            <w:tcW w:w="2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0F2C6245" w14:textId="77777777" w:rsidR="007355C5" w:rsidRDefault="00AC17C1">
            <w:r>
              <w:rPr>
                <w:b/>
                <w:bCs/>
              </w:rPr>
              <w:t>Model Owner / Technical Owner</w:t>
            </w:r>
          </w:p>
        </w:tc>
        <w:tc>
          <w:tcPr>
            <w:tcW w:w="6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4C2A49E" w14:textId="77777777" w:rsidR="007355C5" w:rsidRDefault="00AC17C1">
            <w:r>
              <w:t>Named individual accountable for the model's technical performance and maintenance.</w:t>
            </w:r>
          </w:p>
        </w:tc>
      </w:tr>
      <w:tr w:rsidR="007355C5" w14:paraId="68F1688C" w14:textId="77777777">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1DC6E6" w14:textId="77777777" w:rsidR="007355C5" w:rsidRDefault="00AC17C1">
            <w:r>
              <w:rPr>
                <w:b/>
                <w:bCs/>
              </w:rPr>
              <w:lastRenderedPageBreak/>
              <w:t>Department / Business Line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645A85" w14:textId="77777777" w:rsidR="007355C5" w:rsidRDefault="00AC17C1">
            <w:r>
              <w:t>Owning department (see Section 4 prioritization).</w:t>
            </w:r>
          </w:p>
        </w:tc>
      </w:tr>
      <w:tr w:rsidR="007355C5" w14:paraId="123E3EBC" w14:textId="77777777">
        <w:tc>
          <w:tcPr>
            <w:tcW w:w="2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1044A099" w14:textId="77777777" w:rsidR="007355C5" w:rsidRDefault="00AC17C1">
            <w:r>
              <w:rPr>
                <w:b/>
                <w:bCs/>
              </w:rPr>
              <w:t>Risk Tier</w:t>
            </w:r>
          </w:p>
        </w:tc>
        <w:tc>
          <w:tcPr>
            <w:tcW w:w="6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3D1C9FA" w14:textId="77777777" w:rsidR="007355C5" w:rsidRDefault="00AC17C1">
            <w:r>
              <w:t>Tier 1 / 2 / 3 per the Risk-Tiering Rubric (Section 7.6).</w:t>
            </w:r>
          </w:p>
        </w:tc>
      </w:tr>
      <w:tr w:rsidR="007355C5" w14:paraId="796411ED" w14:textId="77777777">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8F96DA3" w14:textId="77777777" w:rsidR="007355C5" w:rsidRDefault="00AC17C1">
            <w:r>
              <w:rPr>
                <w:b/>
                <w:bCs/>
              </w:rPr>
              <w:t>Lifecycle Status</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F00106" w14:textId="77777777" w:rsidR="007355C5" w:rsidRDefault="00AC17C1">
            <w:r>
              <w:t>Proposed → In Development → Piloting → Production → Retired.</w:t>
            </w:r>
          </w:p>
        </w:tc>
      </w:tr>
      <w:tr w:rsidR="007355C5" w14:paraId="2AD4166E" w14:textId="77777777">
        <w:tc>
          <w:tcPr>
            <w:tcW w:w="2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0F10ADA2" w14:textId="77777777" w:rsidR="007355C5" w:rsidRDefault="00AC17C1">
            <w:r>
              <w:rPr>
                <w:b/>
                <w:bCs/>
              </w:rPr>
              <w:t>Model / Architecture Type</w:t>
            </w:r>
          </w:p>
        </w:tc>
        <w:tc>
          <w:tcPr>
            <w:tcW w:w="6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0DE1CF22" w14:textId="77777777" w:rsidR="007355C5" w:rsidRDefault="00AC17C1">
            <w:r>
              <w:t>e.g., classification model, LLM-based assistant, agentic workflow, third-party embedded AI.</w:t>
            </w:r>
          </w:p>
        </w:tc>
      </w:tr>
      <w:tr w:rsidR="007355C5" w14:paraId="5309859D" w14:textId="77777777">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6D53F4" w14:textId="77777777" w:rsidR="007355C5" w:rsidRDefault="00AC17C1">
            <w:r>
              <w:rPr>
                <w:b/>
                <w:bCs/>
              </w:rPr>
              <w:t>Azure Service(s) Used</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E3A70E2" w14:textId="77777777" w:rsidR="007355C5" w:rsidRDefault="00AC17C1">
            <w:r>
              <w:t>e.g., Azure AI Foundry, Azure OpenAI Service, Azure Machine Learning, or named third-party/vendor platform.</w:t>
            </w:r>
          </w:p>
        </w:tc>
      </w:tr>
      <w:tr w:rsidR="007355C5" w14:paraId="4E86057E" w14:textId="77777777">
        <w:tc>
          <w:tcPr>
            <w:tcW w:w="2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F57A716" w14:textId="77777777" w:rsidR="007355C5" w:rsidRDefault="00AC17C1">
            <w:r>
              <w:rPr>
                <w:b/>
                <w:bCs/>
              </w:rPr>
              <w:t>Data Classification &amp; Sources</w:t>
            </w:r>
          </w:p>
        </w:tc>
        <w:tc>
          <w:tcPr>
            <w:tcW w:w="6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50B1C2AB" w14:textId="77777777" w:rsidR="007355C5" w:rsidRDefault="00AC17C1">
            <w:r>
              <w:t>Data sensitivity classification (per Microsoft Purview) and source systems used for training/inference.</w:t>
            </w:r>
          </w:p>
        </w:tc>
      </w:tr>
      <w:tr w:rsidR="007355C5" w14:paraId="24E67EDB" w14:textId="77777777">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68D97C8" w14:textId="77777777" w:rsidR="007355C5" w:rsidRDefault="00AC17C1">
            <w:r>
              <w:rPr>
                <w:b/>
                <w:bCs/>
              </w:rPr>
              <w:t>Independent Validation Status</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048171" w14:textId="77777777" w:rsidR="007355C5" w:rsidRDefault="00AC17C1">
            <w:r>
              <w:t>Date of last MRM validation, validator, outcome, and date of next required re-validation.</w:t>
            </w:r>
          </w:p>
        </w:tc>
      </w:tr>
      <w:tr w:rsidR="007355C5" w14:paraId="769E9B85" w14:textId="77777777">
        <w:tc>
          <w:tcPr>
            <w:tcW w:w="2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99D50E1" w14:textId="77777777" w:rsidR="007355C5" w:rsidRDefault="00AC17C1">
            <w:r>
              <w:rPr>
                <w:b/>
                <w:bCs/>
              </w:rPr>
              <w:t>Responsible AI Assessment</w:t>
            </w:r>
          </w:p>
        </w:tc>
        <w:tc>
          <w:tcPr>
            <w:tcW w:w="6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334AB5B" w14:textId="77777777" w:rsidR="007355C5" w:rsidRDefault="00AC17C1">
            <w:r>
              <w:t>Fairness/bias, explainability, and safety evaluation status (Azure AI Foundry Responsible AI dashboard results).</w:t>
            </w:r>
          </w:p>
        </w:tc>
      </w:tr>
      <w:tr w:rsidR="007355C5" w14:paraId="472945F3" w14:textId="77777777">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C138E0" w14:textId="77777777" w:rsidR="007355C5" w:rsidRDefault="00AC17C1">
            <w:r>
              <w:rPr>
                <w:b/>
                <w:bCs/>
              </w:rPr>
              <w:t>Human Oversight Level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AFB115" w14:textId="77777777" w:rsidR="007355C5" w:rsidRDefault="00AC17C1">
            <w:r>
              <w:t>Fully automated / human-in-the-loop / human-on-the-loop, per Section 11.</w:t>
            </w:r>
          </w:p>
        </w:tc>
      </w:tr>
      <w:tr w:rsidR="007355C5" w14:paraId="05B2384F" w14:textId="77777777">
        <w:tc>
          <w:tcPr>
            <w:tcW w:w="2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156D5485" w14:textId="77777777" w:rsidR="007355C5" w:rsidRDefault="00AC17C1">
            <w:r>
              <w:rPr>
                <w:b/>
                <w:bCs/>
              </w:rPr>
              <w:t>Applicable Regulatory Regime(s)</w:t>
            </w:r>
          </w:p>
        </w:tc>
        <w:tc>
          <w:tcPr>
            <w:tcW w:w="6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1E50329B" w14:textId="77777777" w:rsidR="007355C5" w:rsidRDefault="00AC17C1">
            <w:r>
              <w:t>Relevant entries from the regulatory map (Section 10), e.g., OSFI E-23, U.S. interagency MRM guidance, CFPB Regulation B, state AI/ADMT law, resolved against the specific legal entity, product, and customer jurisdiction(s) involved per the regulatory applicability mapping (Section 10.5).</w:t>
            </w:r>
          </w:p>
        </w:tc>
      </w:tr>
      <w:tr w:rsidR="007355C5" w14:paraId="3347B287" w14:textId="77777777">
        <w:tc>
          <w:tcPr>
            <w:tcW w:w="2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26D391" w14:textId="77777777" w:rsidR="007355C5" w:rsidRDefault="00AC17C1">
            <w:r>
              <w:rPr>
                <w:b/>
                <w:bCs/>
              </w:rPr>
              <w:t>Approval Record</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8F233C" w14:textId="77777777" w:rsidR="007355C5" w:rsidRDefault="00AC17C1">
            <w:r>
              <w:t>Council or delegated approval date and reference to meeting minutes.</w:t>
            </w:r>
          </w:p>
        </w:tc>
      </w:tr>
      <w:tr w:rsidR="007355C5" w14:paraId="1E256DE9" w14:textId="77777777">
        <w:tc>
          <w:tcPr>
            <w:tcW w:w="2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098B6F0" w14:textId="77777777" w:rsidR="007355C5" w:rsidRDefault="00AC17C1">
            <w:r>
              <w:rPr>
                <w:b/>
                <w:bCs/>
              </w:rPr>
              <w:t>Incident History</w:t>
            </w:r>
          </w:p>
        </w:tc>
        <w:tc>
          <w:tcPr>
            <w:tcW w:w="64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5DAF037B" w14:textId="77777777" w:rsidR="007355C5" w:rsidRDefault="00AC17C1">
            <w:r>
              <w:t>Reference to any AI incidents logged against this use case (Section 12).</w:t>
            </w:r>
          </w:p>
        </w:tc>
      </w:tr>
    </w:tbl>
    <w:p w14:paraId="1CF65086" w14:textId="77777777" w:rsidR="007355C5" w:rsidRDefault="007355C5">
      <w:pPr>
        <w:spacing w:before="200"/>
      </w:pPr>
    </w:p>
    <w:p w14:paraId="307BE618" w14:textId="77777777" w:rsidR="007355C5" w:rsidRDefault="00AC17C1">
      <w:pPr>
        <w:pBdr>
          <w:left w:val="single" w:sz="12" w:space="8" w:color="B00020"/>
        </w:pBdr>
        <w:spacing w:before="80" w:after="200"/>
        <w:ind w:left="200"/>
      </w:pPr>
      <w:r>
        <w:rPr>
          <w:i/>
          <w:iCs/>
          <w:color w:val="B00020"/>
        </w:rPr>
        <w:t>[PLACEHOLDER — Stand up the live inventory system (e.g., GRC tool integrated with the Azure AI Foundry model catalog) and backfill all existing AI/ML use cases, including undocumented “shadow AI” tools]</w:t>
      </w:r>
    </w:p>
    <w:p w14:paraId="1C36F027" w14:textId="77777777" w:rsidR="007355C5" w:rsidRDefault="00AC17C1">
      <w:pPr>
        <w:pStyle w:val="Heading2"/>
      </w:pPr>
      <w:bookmarkStart w:id="33" w:name="_Toc241649695"/>
      <w:r>
        <w:t>7.6 AI Risk-Tiering Rubric</w:t>
      </w:r>
      <w:bookmarkEnd w:id="33"/>
    </w:p>
    <w:p w14:paraId="02A7BBF3" w14:textId="77777777" w:rsidR="007355C5" w:rsidRDefault="00AC17C1">
      <w:pPr>
        <w:spacing w:after="160"/>
      </w:pPr>
      <w:r>
        <w:t>Every use case is assigned a risk tier at intake (Section 5.4) and re-assessed whenever its scope, data, or level of automation materially changes. The tier determines which controls in this playbook are mandatory versus optional, and which level of the Council must approve the use case.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0"/>
        <w:gridCol w:w="2400"/>
        <w:gridCol w:w="2600"/>
        <w:gridCol w:w="2910"/>
      </w:tblGrid>
      <w:tr w:rsidR="007355C5" w14:paraId="4FA1E0D1" w14:textId="77777777">
        <w:trPr>
          <w:tblHeader/>
        </w:trPr>
        <w:tc>
          <w:tcPr>
            <w:tcW w:w="14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7E1FA18" w14:textId="77777777" w:rsidR="007355C5" w:rsidRDefault="00AC17C1">
            <w:r>
              <w:rPr>
                <w:b/>
                <w:bCs/>
                <w:color w:val="FFFFFF"/>
              </w:rPr>
              <w:lastRenderedPageBreak/>
              <w:t>Tier</w:t>
            </w:r>
          </w:p>
        </w:tc>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34459FE" w14:textId="77777777" w:rsidR="007355C5" w:rsidRDefault="00AC17C1">
            <w:r>
              <w:rPr>
                <w:b/>
                <w:bCs/>
                <w:color w:val="FFFFFF"/>
              </w:rPr>
              <w:t>Definition</w:t>
            </w:r>
          </w:p>
        </w:tc>
        <w:tc>
          <w:tcPr>
            <w:tcW w:w="2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03D25A3" w14:textId="77777777" w:rsidR="007355C5" w:rsidRDefault="00AC17C1">
            <w:r>
              <w:rPr>
                <w:b/>
                <w:bCs/>
                <w:color w:val="FFFFFF"/>
              </w:rPr>
              <w:t>Representative Examples</w:t>
            </w:r>
          </w:p>
        </w:tc>
        <w:tc>
          <w:tcPr>
            <w:tcW w:w="291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4D9B92E" w14:textId="77777777" w:rsidR="007355C5" w:rsidRDefault="00AC17C1">
            <w:r>
              <w:rPr>
                <w:b/>
                <w:bCs/>
                <w:color w:val="FFFFFF"/>
              </w:rPr>
              <w:t>Minimum Required Controls</w:t>
            </w:r>
          </w:p>
        </w:tc>
      </w:tr>
      <w:tr w:rsidR="007355C5" w14:paraId="281EA3EE" w14:textId="77777777">
        <w:tc>
          <w:tcPr>
            <w:tcW w:w="14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3A9A3B" w14:textId="77777777" w:rsidR="007355C5" w:rsidRDefault="00AC17C1">
            <w:r>
              <w:rPr>
                <w:b/>
                <w:bCs/>
              </w:rPr>
              <w:t>Tier 1 — Critical</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3B76EB" w14:textId="77777777" w:rsidR="007355C5" w:rsidRDefault="00AC17C1">
            <w:r>
              <w:t>Materially affects a customer's financial position, access to credit/services, or funds; operates with significant autonomy; or processes highly sensitive data at scale.</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4DD2AA" w14:textId="77777777" w:rsidR="007355C5" w:rsidRDefault="00AC17C1">
            <w:r>
              <w:t>Automated credit/underwriting decisions; autonomous payment-initiating agents; AML/sanctions alerting affecting account actions; customer-facing generative AI with transaction authority.</w:t>
            </w:r>
          </w:p>
        </w:tc>
        <w:tc>
          <w:tcPr>
            <w:tcW w:w="29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978D90" w14:textId="77777777" w:rsidR="007355C5" w:rsidRDefault="00AC17C1">
            <w:r>
              <w:t>Full independent MRM validation before and periodically after launch; AI Governance Council approval; mandatory human-in-the-loop for irreversible actions; fairness/bias and red-team testing; enhanced monitoring (Azure Monitor + Microsoft Sentinel); quarterly re-validation.</w:t>
            </w:r>
          </w:p>
        </w:tc>
      </w:tr>
      <w:tr w:rsidR="007355C5" w14:paraId="5ED21B22" w14:textId="77777777">
        <w:tc>
          <w:tcPr>
            <w:tcW w:w="145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A83BA67" w14:textId="77777777" w:rsidR="007355C5" w:rsidRDefault="00AC17C1">
            <w:r>
              <w:rPr>
                <w:b/>
                <w:bCs/>
              </w:rPr>
              <w:t>Tier 2 — Moderate</w:t>
            </w:r>
          </w:p>
        </w:tc>
        <w:tc>
          <w:tcPr>
            <w:tcW w:w="24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A92CC32" w14:textId="77777777" w:rsidR="007355C5" w:rsidRDefault="00AC17C1">
            <w:r>
              <w:t>Influences but does not solely determine a customer- or financially-material outcome; limited autonomy with human review; moderate data sensitivity.</w:t>
            </w:r>
          </w:p>
        </w:tc>
        <w:tc>
          <w:tcPr>
            <w:tcW w:w="26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1CB07EA5" w14:textId="77777777" w:rsidR="007355C5" w:rsidRDefault="00AC17C1">
            <w:r>
              <w:t>Fraud alert triage and prioritization; collections treatment recommendations; contact-center agent-assist and summarization; internal compliance document review.</w:t>
            </w:r>
          </w:p>
        </w:tc>
        <w:tc>
          <w:tcPr>
            <w:tcW w:w="291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9F749AC" w14:textId="77777777" w:rsidR="007355C5" w:rsidRDefault="00AC17C1">
            <w:r>
              <w:t>Independent validation at launch and on a defined cycle (e.g., annually); delegated approval (Council-designated sub-committee); standard monitoring and drift detection; documented human escalation path.</w:t>
            </w:r>
          </w:p>
        </w:tc>
      </w:tr>
      <w:tr w:rsidR="007355C5" w14:paraId="7467EB91" w14:textId="77777777">
        <w:tc>
          <w:tcPr>
            <w:tcW w:w="14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67C46A" w14:textId="77777777" w:rsidR="007355C5" w:rsidRDefault="00AC17C1">
            <w:r>
              <w:rPr>
                <w:b/>
                <w:bCs/>
              </w:rPr>
              <w:t>Tier 3 — Low</w:t>
            </w:r>
          </w:p>
        </w:tc>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E6E0E9" w14:textId="77777777" w:rsidR="007355C5" w:rsidRDefault="00AC17C1">
            <w:r>
              <w:t>Internal productivity or informational use with no direct customer or financial decisioning impact; low data sensitivity or fully synthetic/public data.</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4F32A5" w14:textId="77777777" w:rsidR="007355C5" w:rsidRDefault="00AC17C1">
            <w:r>
              <w:t>Internal knowledge-base search/summarization; meeting notes and drafting assistants; internal code-generation copilots; marketing content drafting (pre-human review).</w:t>
            </w:r>
          </w:p>
        </w:tc>
        <w:tc>
          <w:tcPr>
            <w:tcW w:w="291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56C247" w14:textId="77777777" w:rsidR="007355C5" w:rsidRDefault="00AC17C1">
            <w:r>
              <w:t>Lightweight intake screening; registration in the AI/Model Inventory; baseline security and acceptable-use compliance; periodic spot-check review (e.g., annually).</w:t>
            </w:r>
          </w:p>
        </w:tc>
      </w:tr>
    </w:tbl>
    <w:p w14:paraId="51C50858" w14:textId="77777777" w:rsidR="007355C5" w:rsidRDefault="007355C5">
      <w:pPr>
        <w:spacing w:before="200"/>
      </w:pPr>
    </w:p>
    <w:p w14:paraId="0EDDFCC0" w14:textId="77777777" w:rsidR="007355C5" w:rsidRDefault="00AC17C1">
      <w:pPr>
        <w:pBdr>
          <w:left w:val="single" w:sz="12" w:space="8" w:color="B00020"/>
        </w:pBdr>
        <w:spacing w:before="80" w:after="200"/>
        <w:ind w:left="200"/>
      </w:pPr>
      <w:r>
        <w:rPr>
          <w:i/>
          <w:iCs/>
          <w:color w:val="B00020"/>
        </w:rPr>
        <w:t>[PLACEHOLDER — Calibrate tier thresholds and approval delegation levels to the institution's specific risk appetite and regulatory obligations]</w:t>
      </w:r>
    </w:p>
    <w:p w14:paraId="753610FD" w14:textId="77777777" w:rsidR="007355C5" w:rsidRDefault="00AC17C1">
      <w:r>
        <w:br w:type="page"/>
      </w:r>
    </w:p>
    <w:p w14:paraId="36369F70" w14:textId="77777777" w:rsidR="007355C5" w:rsidRDefault="00AC17C1">
      <w:pPr>
        <w:pStyle w:val="Heading1"/>
      </w:pPr>
      <w:bookmarkStart w:id="34" w:name="_Toc241649696"/>
      <w:r>
        <w:lastRenderedPageBreak/>
        <w:t>8. User Authentication and Authorization</w:t>
      </w:r>
      <w:bookmarkEnd w:id="34"/>
    </w:p>
    <w:p w14:paraId="688F6A52" w14:textId="77777777" w:rsidR="007355C5" w:rsidRDefault="00AC17C1">
      <w:pPr>
        <w:spacing w:after="160"/>
      </w:pPr>
      <w:r>
        <w:t>Because AI systems can access sensitive data and, increasingly, take autonomous actions, identity and access management (IAM) must cover both human users and machine/agent identities, standardized on Microsoft Entra ID as the bank's identity provider.</w:t>
      </w:r>
    </w:p>
    <w:p w14:paraId="60EEB570" w14:textId="77777777" w:rsidR="007355C5" w:rsidRDefault="00AC17C1">
      <w:pPr>
        <w:pStyle w:val="Heading2"/>
      </w:pPr>
      <w:bookmarkStart w:id="35" w:name="_Toc241649697"/>
      <w:r>
        <w:t>8.1 Human Access</w:t>
      </w:r>
      <w:bookmarkEnd w:id="35"/>
    </w:p>
    <w:p w14:paraId="40B367DF" w14:textId="77777777" w:rsidR="007355C5" w:rsidRDefault="00AC17C1">
      <w:pPr>
        <w:pStyle w:val="ListParagraph"/>
        <w:numPr>
          <w:ilvl w:val="0"/>
          <w:numId w:val="2"/>
        </w:numPr>
        <w:spacing w:after="80"/>
      </w:pPr>
      <w:r>
        <w:t>Strong authentication (MFA, phishing-resistant methods such as FIDO2/passkeys) via Microsoft Entra ID for all users of AI tools and platforms.</w:t>
      </w:r>
    </w:p>
    <w:p w14:paraId="3DA4BC37" w14:textId="77777777" w:rsidR="007355C5" w:rsidRDefault="00AC17C1">
      <w:pPr>
        <w:pStyle w:val="ListParagraph"/>
        <w:numPr>
          <w:ilvl w:val="0"/>
          <w:numId w:val="2"/>
        </w:numPr>
        <w:spacing w:after="80"/>
      </w:pPr>
      <w:r>
        <w:t>Role-based and attribute-based access control (RBAC/ABAC) using Microsoft Entra ID roles and Azure RBAC so employees only see the data and model capabilities required for their role.</w:t>
      </w:r>
    </w:p>
    <w:p w14:paraId="73D55A87" w14:textId="77777777" w:rsidR="007355C5" w:rsidRDefault="00AC17C1">
      <w:pPr>
        <w:pStyle w:val="ListParagraph"/>
        <w:numPr>
          <w:ilvl w:val="0"/>
          <w:numId w:val="2"/>
        </w:numPr>
        <w:spacing w:after="80"/>
      </w:pPr>
      <w:r>
        <w:t>Least-privilege access to training data, model artifacts, prompts, and outputs, with Microsoft Entra Privileged Identity Management (PIM) for just-in-time, time-bound elevation and periodic access recertification.</w:t>
      </w:r>
    </w:p>
    <w:p w14:paraId="5AFED0FF" w14:textId="77777777" w:rsidR="007355C5" w:rsidRDefault="00AC17C1">
      <w:pPr>
        <w:pStyle w:val="ListParagraph"/>
        <w:numPr>
          <w:ilvl w:val="0"/>
          <w:numId w:val="2"/>
        </w:numPr>
        <w:spacing w:after="80"/>
      </w:pPr>
      <w:r>
        <w:t>Segregation of duties between model developers, validators, and approvers, enforced through Azure resource and Entra ID group scoping.</w:t>
      </w:r>
    </w:p>
    <w:p w14:paraId="7CA4AC76" w14:textId="77777777" w:rsidR="007355C5" w:rsidRDefault="00AC17C1">
      <w:pPr>
        <w:pStyle w:val="Heading2"/>
      </w:pPr>
      <w:bookmarkStart w:id="36" w:name="_Toc241649698"/>
      <w:r>
        <w:t>8.2 Machine and Agent Identity</w:t>
      </w:r>
      <w:bookmarkEnd w:id="36"/>
    </w:p>
    <w:p w14:paraId="5479254D" w14:textId="77777777" w:rsidR="007355C5" w:rsidRDefault="00AC17C1">
      <w:pPr>
        <w:pStyle w:val="ListParagraph"/>
        <w:numPr>
          <w:ilvl w:val="0"/>
          <w:numId w:val="2"/>
        </w:numPr>
        <w:spacing w:after="80"/>
      </w:pPr>
      <w:r>
        <w:rPr>
          <w:b/>
          <w:bCs/>
        </w:rPr>
        <w:t xml:space="preserve">Unique identity per AI agent/service: </w:t>
      </w:r>
      <w:r>
        <w:t>every autonomous agent or service should have its own Microsoft Entra ID application/managed identity and audit trail — never a shared or generic account.</w:t>
      </w:r>
    </w:p>
    <w:p w14:paraId="4698CD52" w14:textId="77777777" w:rsidR="007355C5" w:rsidRDefault="00AC17C1">
      <w:pPr>
        <w:pStyle w:val="ListParagraph"/>
        <w:numPr>
          <w:ilvl w:val="0"/>
          <w:numId w:val="2"/>
        </w:numPr>
        <w:spacing w:after="80"/>
      </w:pPr>
      <w:r>
        <w:rPr>
          <w:b/>
          <w:bCs/>
        </w:rPr>
        <w:t xml:space="preserve">Scoped permissions: </w:t>
      </w:r>
      <w:r>
        <w:t>agents get the minimum set of tools/APIs and data access needed for their task (via Entra ID app roles and conditional access), following the same least-privilege principle as human users, with time-bound or transaction-limited grants.</w:t>
      </w:r>
    </w:p>
    <w:p w14:paraId="6F098E2A" w14:textId="77777777" w:rsidR="007355C5" w:rsidRDefault="00AC17C1">
      <w:pPr>
        <w:pStyle w:val="ListParagraph"/>
        <w:numPr>
          <w:ilvl w:val="0"/>
          <w:numId w:val="2"/>
        </w:numPr>
        <w:spacing w:after="80"/>
      </w:pPr>
      <w:r>
        <w:rPr>
          <w:b/>
          <w:bCs/>
        </w:rPr>
        <w:t xml:space="preserve">Human-in-the-loop authorization: </w:t>
      </w:r>
      <w:r>
        <w:t>high-impact or irreversible actions (payments above a threshold, account changes, credit decisions) require explicit human approval, not fully autonomous execution.</w:t>
      </w:r>
    </w:p>
    <w:p w14:paraId="5C9FD71E" w14:textId="77777777" w:rsidR="007355C5" w:rsidRDefault="00AC17C1">
      <w:pPr>
        <w:pStyle w:val="ListParagraph"/>
        <w:numPr>
          <w:ilvl w:val="0"/>
          <w:numId w:val="2"/>
        </w:numPr>
        <w:spacing w:after="80"/>
      </w:pPr>
      <w:r>
        <w:rPr>
          <w:b/>
          <w:bCs/>
        </w:rPr>
        <w:t xml:space="preserve">Non-repudiation and audit logging: </w:t>
      </w:r>
      <w:r>
        <w:t>every authentication event and AI-initiated action is logged, attributable, and tamper-evident (Microsoft Entra ID sign-in/audit logs plus Azure Monitor) to support audit and forensic investigation.</w:t>
      </w:r>
    </w:p>
    <w:p w14:paraId="7B0C8F75" w14:textId="77777777" w:rsidR="007355C5" w:rsidRDefault="00AC17C1">
      <w:pPr>
        <w:pStyle w:val="Heading2"/>
      </w:pPr>
      <w:bookmarkStart w:id="37" w:name="_Toc241649699"/>
      <w:r>
        <w:t>8.3 Customer-Facing Authentication</w:t>
      </w:r>
      <w:bookmarkEnd w:id="37"/>
    </w:p>
    <w:p w14:paraId="2BE87B7C" w14:textId="77777777" w:rsidR="007355C5" w:rsidRDefault="00AC17C1">
      <w:pPr>
        <w:pStyle w:val="ListParagraph"/>
        <w:numPr>
          <w:ilvl w:val="0"/>
          <w:numId w:val="2"/>
        </w:numPr>
        <w:spacing w:after="80"/>
      </w:pPr>
      <w:r>
        <w:t>Strong customer authentication for AI-assisted channels (chatbots, voice assistants) consistent with the bank's broader digital authentication standards, integrated with Microsoft Entra External ID for customer identity where applicable.</w:t>
      </w:r>
    </w:p>
    <w:p w14:paraId="10D600D1" w14:textId="77777777" w:rsidR="007355C5" w:rsidRDefault="00AC17C1">
      <w:pPr>
        <w:pStyle w:val="ListParagraph"/>
        <w:numPr>
          <w:ilvl w:val="0"/>
          <w:numId w:val="2"/>
        </w:numPr>
        <w:spacing w:after="80"/>
      </w:pPr>
      <w:r>
        <w:t>Safeguards against AI-enabled fraud vectors such as voice deepfakes and synthetic identity in authentication flows.</w:t>
      </w:r>
    </w:p>
    <w:p w14:paraId="7CEA1150" w14:textId="77777777" w:rsidR="007355C5" w:rsidRDefault="00AC17C1">
      <w:pPr>
        <w:pStyle w:val="ListParagraph"/>
        <w:numPr>
          <w:ilvl w:val="0"/>
          <w:numId w:val="2"/>
        </w:numPr>
        <w:spacing w:after="80"/>
      </w:pPr>
      <w:r>
        <w:t>Clear step-up authentication triggers when an AI assistant needs to perform a sensitive action on a customer's behalf.</w:t>
      </w:r>
    </w:p>
    <w:p w14:paraId="3AA71D87" w14:textId="77777777" w:rsidR="007355C5" w:rsidRDefault="00AC17C1">
      <w:pPr>
        <w:pBdr>
          <w:left w:val="single" w:sz="12" w:space="8" w:color="B00020"/>
        </w:pBdr>
        <w:spacing w:before="80" w:after="200"/>
        <w:ind w:left="200"/>
      </w:pPr>
      <w:r>
        <w:rPr>
          <w:i/>
          <w:iCs/>
          <w:color w:val="B00020"/>
        </w:rPr>
        <w:t>[PLACEHOLDER — IAM standards for AI/agents, entitlement matrix, and integration with enterprise Microsoft Entra ID/PIM configuration]</w:t>
      </w:r>
    </w:p>
    <w:p w14:paraId="38249A70" w14:textId="77777777" w:rsidR="007355C5" w:rsidRDefault="00AC17C1">
      <w:pPr>
        <w:pStyle w:val="Heading1"/>
      </w:pPr>
      <w:bookmarkStart w:id="38" w:name="_Toc241649700"/>
      <w:r>
        <w:t>9. Data Privacy and Protection</w:t>
      </w:r>
      <w:bookmarkEnd w:id="38"/>
    </w:p>
    <w:p w14:paraId="6F457EB8" w14:textId="77777777" w:rsidR="007355C5" w:rsidRDefault="00AC17C1">
      <w:pPr>
        <w:pStyle w:val="ListParagraph"/>
        <w:numPr>
          <w:ilvl w:val="0"/>
          <w:numId w:val="2"/>
        </w:numPr>
        <w:spacing w:after="80"/>
      </w:pPr>
      <w:r>
        <w:lastRenderedPageBreak/>
        <w:t>Compliance with applicable privacy law in every jurisdiction of operation (see Section 10 for Canada and U.S. specifics) for any data used to train or operate AI systems.</w:t>
      </w:r>
    </w:p>
    <w:p w14:paraId="581B5659" w14:textId="77777777" w:rsidR="007355C5" w:rsidRDefault="00AC17C1">
      <w:pPr>
        <w:pStyle w:val="ListParagraph"/>
        <w:numPr>
          <w:ilvl w:val="0"/>
          <w:numId w:val="2"/>
        </w:numPr>
        <w:spacing w:after="80"/>
      </w:pPr>
      <w:r>
        <w:t>Data minimization: use only the data necessary for the use case; avoid feeding unnecessary PII into prompts or training sets.</w:t>
      </w:r>
    </w:p>
    <w:p w14:paraId="2BCC77C3" w14:textId="77777777" w:rsidR="007355C5" w:rsidRDefault="00AC17C1">
      <w:pPr>
        <w:pStyle w:val="ListParagraph"/>
        <w:numPr>
          <w:ilvl w:val="0"/>
          <w:numId w:val="2"/>
        </w:numPr>
        <w:spacing w:after="80"/>
      </w:pPr>
      <w:r>
        <w:t>Purpose limitation and consent management, especially where customer data is reused for a new AI purpose.</w:t>
      </w:r>
    </w:p>
    <w:p w14:paraId="5E1B4F1A" w14:textId="77777777" w:rsidR="007355C5" w:rsidRDefault="00AC17C1">
      <w:pPr>
        <w:pStyle w:val="ListParagraph"/>
        <w:numPr>
          <w:ilvl w:val="0"/>
          <w:numId w:val="2"/>
        </w:numPr>
        <w:spacing w:after="80"/>
      </w:pPr>
      <w:r>
        <w:t>Cross-border data transfer controls when using cloud-hosted or vendor-hosted AI models; select Azure regions and Azure OpenAI Service data processing options that meet data residency requirements.</w:t>
      </w:r>
    </w:p>
    <w:p w14:paraId="58B67B6D" w14:textId="77777777" w:rsidR="007355C5" w:rsidRDefault="00AC17C1">
      <w:pPr>
        <w:pStyle w:val="ListParagraph"/>
        <w:numPr>
          <w:ilvl w:val="0"/>
          <w:numId w:val="2"/>
        </w:numPr>
        <w:spacing w:after="80"/>
      </w:pPr>
      <w:r>
        <w:t>Data retention and deletion policies for prompts, model outputs, and logs containing customer data, enforced via Microsoft Purview data lifecycle management.</w:t>
      </w:r>
    </w:p>
    <w:p w14:paraId="6BA9DC69" w14:textId="77777777" w:rsidR="007355C5" w:rsidRDefault="00AC17C1">
      <w:pPr>
        <w:pStyle w:val="ListParagraph"/>
        <w:numPr>
          <w:ilvl w:val="0"/>
          <w:numId w:val="2"/>
        </w:numPr>
        <w:spacing w:after="80"/>
      </w:pPr>
      <w:r>
        <w:t>Privacy Impact Assessments (PIAs) required before deploying any new customer-data-driven AI use case, with sensitivity labeling and classification managed in Microsoft Purview.</w:t>
      </w:r>
    </w:p>
    <w:p w14:paraId="6E79A3D9" w14:textId="77777777" w:rsidR="007355C5" w:rsidRDefault="00AC17C1">
      <w:pPr>
        <w:pBdr>
          <w:left w:val="single" w:sz="12" w:space="8" w:color="B00020"/>
        </w:pBdr>
        <w:spacing w:before="80" w:after="200"/>
        <w:ind w:left="200"/>
      </w:pPr>
      <w:r>
        <w:rPr>
          <w:i/>
          <w:iCs/>
          <w:color w:val="B00020"/>
        </w:rPr>
        <w:t>[PLACEHOLDER — Data classification standard, PIA template, and cross-border transfer decision tree]</w:t>
      </w:r>
    </w:p>
    <w:p w14:paraId="4B8FB7D7" w14:textId="77777777" w:rsidR="007355C5" w:rsidRDefault="00AC17C1">
      <w:r>
        <w:br w:type="page"/>
      </w:r>
    </w:p>
    <w:p w14:paraId="638C7E42" w14:textId="77777777" w:rsidR="007355C5" w:rsidRDefault="00AC17C1">
      <w:pPr>
        <w:pStyle w:val="Heading1"/>
      </w:pPr>
      <w:bookmarkStart w:id="39" w:name="_Toc241649701"/>
      <w:r>
        <w:lastRenderedPageBreak/>
        <w:t>10. Regulatory and Legal Compliance — Canada and United States Regulatory Map</w:t>
      </w:r>
      <w:bookmarkEnd w:id="39"/>
    </w:p>
    <w:p w14:paraId="1FD48AF0" w14:textId="77777777" w:rsidR="007355C5" w:rsidRDefault="00AC17C1">
      <w:pPr>
        <w:spacing w:after="160"/>
      </w:pPr>
      <w:r>
        <w:t>This section maps the regulatory landscape most relevant to a bank operating in Canada and/or the United States. AI regulation for financial services is moving quickly and, in several cases, moving in different directions in each country — this map should be treated as a snapshot to be validated with legal counsel at each Council review cycle (Section 7.4.3), not a static reference.</w:t>
      </w:r>
    </w:p>
    <w:p w14:paraId="37E2CE50" w14:textId="77777777" w:rsidR="007355C5" w:rsidRDefault="00AC17C1">
      <w:pPr>
        <w:pBdr>
          <w:left w:val="single" w:sz="12" w:space="8" w:color="8A6D00"/>
        </w:pBdr>
        <w:spacing w:before="80" w:after="200"/>
        <w:ind w:left="200"/>
      </w:pPr>
      <w:r>
        <w:rPr>
          <w:i/>
          <w:iCs/>
          <w:color w:val="8A6D00"/>
        </w:rPr>
        <w:t>NOTE — This regulatory map reflects the state of Canadian and U.S. law and guidance as of July 2026. Several items below (the U.S. CFPB fair-lending rule and the Colorado ADMT law in particular) are recent, contested, or not yet in effect — confirm current status with legal/compliance before relying on this section for a specific decision.</w:t>
      </w:r>
    </w:p>
    <w:p w14:paraId="1311A496" w14:textId="77777777" w:rsidR="007355C5" w:rsidRDefault="00AC17C1">
      <w:pPr>
        <w:pStyle w:val="Heading2"/>
      </w:pPr>
      <w:bookmarkStart w:id="40" w:name="_Toc241649702"/>
      <w:r>
        <w:t>10.1 Canada</w:t>
      </w:r>
      <w:bookmarkEnd w:id="40"/>
    </w:p>
    <w:p w14:paraId="26E3D9F2" w14:textId="77777777" w:rsidR="007355C5" w:rsidRDefault="00AC17C1">
      <w:pPr>
        <w:spacing w:after="160"/>
      </w:pPr>
      <w:r>
        <w:t>Canadian federally regulated financial institutions (FRFIs) face a combination of prudential model-risk guidance from OSFI, federal and provincial privacy law, and — notably — the absence of a comprehensive national AI statute following the death of Bill C-27.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4"/>
        <w:gridCol w:w="2234"/>
        <w:gridCol w:w="3161"/>
        <w:gridCol w:w="1921"/>
      </w:tblGrid>
      <w:tr w:rsidR="007355C5" w14:paraId="6F0C49A8" w14:textId="77777777">
        <w:trPr>
          <w:tblHeader/>
        </w:trPr>
        <w:tc>
          <w:tcPr>
            <w:tcW w:w="21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E2CEF62" w14:textId="77777777" w:rsidR="007355C5" w:rsidRDefault="00AC17C1">
            <w:r>
              <w:rPr>
                <w:b/>
                <w:bCs/>
                <w:color w:val="FFFFFF"/>
              </w:rPr>
              <w:t>Regulator / Law</w:t>
            </w:r>
          </w:p>
        </w:tc>
        <w:tc>
          <w:tcPr>
            <w:tcW w:w="1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CE84D9A" w14:textId="77777777" w:rsidR="007355C5" w:rsidRDefault="00AC17C1">
            <w:r>
              <w:rPr>
                <w:b/>
                <w:bCs/>
                <w:color w:val="FFFFFF"/>
              </w:rPr>
              <w:t>Applies To</w:t>
            </w:r>
          </w:p>
        </w:tc>
        <w:tc>
          <w:tcPr>
            <w:tcW w:w="3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6F60655" w14:textId="77777777" w:rsidR="007355C5" w:rsidRDefault="00AC17C1">
            <w:r>
              <w:rPr>
                <w:b/>
                <w:bCs/>
                <w:color w:val="FFFFFF"/>
              </w:rPr>
              <w:t>Key AI-Relevant Requirement</w:t>
            </w:r>
          </w:p>
        </w:tc>
        <w:tc>
          <w:tcPr>
            <w:tcW w:w="19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75DA83F" w14:textId="77777777" w:rsidR="007355C5" w:rsidRDefault="00AC17C1">
            <w:r>
              <w:rPr>
                <w:b/>
                <w:bCs/>
                <w:color w:val="FFFFFF"/>
              </w:rPr>
              <w:t>Status</w:t>
            </w:r>
          </w:p>
        </w:tc>
      </w:tr>
      <w:tr w:rsidR="007355C5" w14:paraId="77E7D3CC" w14:textId="77777777">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72AAE4" w14:textId="77777777" w:rsidR="007355C5" w:rsidRDefault="00AC17C1">
            <w:r>
              <w:rPr>
                <w:b/>
                <w:bCs/>
              </w:rPr>
              <w:t>OSFI Guideline E-23 (Model Risk Management)</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12C637" w14:textId="77777777" w:rsidR="007355C5" w:rsidRDefault="00AC17C1">
            <w:r>
              <w:t>All federally regulated financial institutions (banks, foreign bank branches, insurers, trust and loan companies)</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4B2091" w14:textId="77777777" w:rsidR="007355C5" w:rsidRDefault="00AC17C1">
            <w:r>
              <w:t>Enterprise-wide model risk management framework covering all models, explicitly including AI/ML: model inventory, lifecycle governance, risk-rating, validation, and decommissioning; extends accountability to third-party/vendor models (aligned with Guideline B-10).</w:t>
            </w:r>
          </w:p>
        </w:tc>
        <w:tc>
          <w:tcPr>
            <w:tcW w:w="1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2D4CCB" w14:textId="77777777" w:rsidR="007355C5" w:rsidRDefault="00AC17C1">
            <w:r>
              <w:t>Finalized September 11, 2025; effective May 1, 2027 (18-month transition). Banks should be actively implementing now.</w:t>
            </w:r>
          </w:p>
        </w:tc>
      </w:tr>
      <w:tr w:rsidR="007355C5" w14:paraId="0FBE7E92" w14:textId="77777777">
        <w:tc>
          <w:tcPr>
            <w:tcW w:w="21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13B520F7" w14:textId="77777777" w:rsidR="007355C5" w:rsidRDefault="00AC17C1">
            <w:r>
              <w:rPr>
                <w:b/>
                <w:bCs/>
              </w:rPr>
              <w:t>OSFI Guideline B-10 (Third-Party Risk Management)</w:t>
            </w:r>
          </w:p>
        </w:tc>
        <w:tc>
          <w:tcPr>
            <w:tcW w:w="1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6BE4DEB" w14:textId="77777777" w:rsidR="007355C5" w:rsidRDefault="00AC17C1">
            <w:r>
              <w:t>All FRFIs</w:t>
            </w:r>
          </w:p>
        </w:tc>
        <w:tc>
          <w:tcPr>
            <w:tcW w:w="34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DBFEDF6" w14:textId="77777777" w:rsidR="007355C5" w:rsidRDefault="00AC17C1">
            <w:r>
              <w:t>Due diligence, contractual protections, and ongoing oversight of third-party providers, including AI/ML vendors and cloud/model providers (relevant to Azure AI Foundry model catalog and vendor-hosted models).</w:t>
            </w:r>
          </w:p>
        </w:tc>
        <w:tc>
          <w:tcPr>
            <w:tcW w:w="19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7718DC0B" w14:textId="77777777" w:rsidR="007355C5" w:rsidRDefault="00AC17C1">
            <w:r>
              <w:t>In force; referenced explicitly by Guideline E-23 for AI/ML vendor oversight.</w:t>
            </w:r>
          </w:p>
        </w:tc>
      </w:tr>
      <w:tr w:rsidR="007355C5" w14:paraId="23C92041" w14:textId="77777777">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A0A6229" w14:textId="77777777" w:rsidR="007355C5" w:rsidRDefault="00AC17C1">
            <w:r>
              <w:rPr>
                <w:b/>
                <w:bCs/>
              </w:rPr>
              <w:t>PIPEDA (Personal Information Protection and Electronic Documents Act)</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647E70" w14:textId="77777777" w:rsidR="007355C5" w:rsidRDefault="00AC17C1">
            <w:r>
              <w:t>Federally regulated private-sector organizations, incl. banks, for personal information handling</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53435C" w14:textId="77777777" w:rsidR="007355C5" w:rsidRDefault="00AC17C1">
            <w:r>
              <w:t>Consent, purpose limitation, and safeguarding requirements apply to personal data used to train or operate AI systems; no AI-specific amendment currently in force.</w:t>
            </w:r>
          </w:p>
        </w:tc>
        <w:tc>
          <w:tcPr>
            <w:tcW w:w="1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4C14DD" w14:textId="77777777" w:rsidR="007355C5" w:rsidRDefault="00AC17C1">
            <w:r>
              <w:t xml:space="preserve">In force. The proposed successor (Consumer Privacy Protection Act, part of Bill C-27) died with AIDA </w:t>
            </w:r>
            <w:r>
              <w:lastRenderedPageBreak/>
              <w:t>(see below) and has not been re-introduced.</w:t>
            </w:r>
          </w:p>
        </w:tc>
      </w:tr>
      <w:tr w:rsidR="007355C5" w14:paraId="7E3D4F52" w14:textId="77777777">
        <w:tc>
          <w:tcPr>
            <w:tcW w:w="21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75E71967" w14:textId="77777777" w:rsidR="007355C5" w:rsidRDefault="00AC17C1">
            <w:r>
              <w:rPr>
                <w:b/>
                <w:bCs/>
              </w:rPr>
              <w:lastRenderedPageBreak/>
              <w:t>Artificial Intelligence and Data Act (AIDA) / Bill C-27</w:t>
            </w:r>
          </w:p>
        </w:tc>
        <w:tc>
          <w:tcPr>
            <w:tcW w:w="1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DC682AC" w14:textId="77777777" w:rsidR="007355C5" w:rsidRDefault="00AC17C1">
            <w:r>
              <w:t>Would have applied to “high-impact” AI systems, incl. many financial services use cases</w:t>
            </w:r>
          </w:p>
        </w:tc>
        <w:tc>
          <w:tcPr>
            <w:tcW w:w="34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038FDCE0" w14:textId="77777777" w:rsidR="007355C5" w:rsidRDefault="00AC17C1">
            <w:r>
              <w:t>Would have created Canada's first comprehensive federal AI statute (risk assessments, mitigation, transparency).</w:t>
            </w:r>
          </w:p>
        </w:tc>
        <w:tc>
          <w:tcPr>
            <w:tcW w:w="19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41192F6D" w14:textId="77777777" w:rsidR="007355C5" w:rsidRDefault="00AC17C1">
            <w:r>
              <w:t>Died on the Order Paper when Parliament was prorogued (January 2025) following the change in Prime Minister; not re-introduced as of mid-2026. There is currently no comprehensive federal AI law in Canada — do not assume AIDA obligations apply.</w:t>
            </w:r>
          </w:p>
        </w:tc>
      </w:tr>
      <w:tr w:rsidR="007355C5" w14:paraId="7C4A4B01" w14:textId="77777777">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18FE1E" w14:textId="77777777" w:rsidR="007355C5" w:rsidRDefault="00AC17C1">
            <w:r>
              <w:rPr>
                <w:b/>
                <w:bCs/>
              </w:rPr>
              <w:t>Quebec Law 25 (An Act to modernize legislative provisions respecting the protection of personal information)</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6D98C29" w14:textId="77777777" w:rsidR="007355C5" w:rsidRDefault="00AC17C1">
            <w:r>
              <w:t>Organizations doing business in Quebec, incl. bank branches/operations</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E2AA67" w14:textId="77777777" w:rsidR="007355C5" w:rsidRDefault="00AC17C1">
            <w:r>
              <w:t>Requires disclosure to individuals when a decision is based exclusively on automated processing of their personal information, and a right to have such decisions explained and reviewed by a person.</w:t>
            </w:r>
          </w:p>
        </w:tc>
        <w:tc>
          <w:tcPr>
            <w:tcW w:w="1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B02363" w14:textId="77777777" w:rsidR="007355C5" w:rsidRDefault="00AC17C1">
            <w:r>
              <w:t>In force. The most concrete automated-decision-making disclosure obligation currently in effect in Canada.</w:t>
            </w:r>
          </w:p>
        </w:tc>
      </w:tr>
      <w:tr w:rsidR="007355C5" w14:paraId="56D9C3A1" w14:textId="77777777">
        <w:tc>
          <w:tcPr>
            <w:tcW w:w="21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492C4E7D" w14:textId="77777777" w:rsidR="007355C5" w:rsidRDefault="00AC17C1">
            <w:r>
              <w:rPr>
                <w:b/>
                <w:bCs/>
              </w:rPr>
              <w:t>Financial Consumer Agency of Canada (FCAC)</w:t>
            </w:r>
          </w:p>
        </w:tc>
        <w:tc>
          <w:tcPr>
            <w:tcW w:w="1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43CBE541" w14:textId="77777777" w:rsidR="007355C5" w:rsidRDefault="00AC17C1">
            <w:r>
              <w:t>Federally regulated banks</w:t>
            </w:r>
          </w:p>
        </w:tc>
        <w:tc>
          <w:tcPr>
            <w:tcW w:w="34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0026D246" w14:textId="77777777" w:rsidR="007355C5" w:rsidRDefault="00AC17C1">
            <w:r>
              <w:t>Consumer protection framework (Financial Consumer Protection Framework) covering fair treatment, complaint handling, and disclosure — applies regardless of whether a decision or interaction is AI-driven.</w:t>
            </w:r>
          </w:p>
        </w:tc>
        <w:tc>
          <w:tcPr>
            <w:tcW w:w="19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C5D6ADE" w14:textId="77777777" w:rsidR="007355C5" w:rsidRDefault="00AC17C1">
            <w:r>
              <w:t>In force.</w:t>
            </w:r>
          </w:p>
        </w:tc>
      </w:tr>
      <w:tr w:rsidR="007355C5" w14:paraId="612E42A0" w14:textId="77777777">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32DED0" w14:textId="77777777" w:rsidR="007355C5" w:rsidRDefault="00AC17C1">
            <w:r>
              <w:rPr>
                <w:b/>
                <w:bCs/>
              </w:rPr>
              <w:t>Office of the Privacy Commissioner of Canada (OPC)</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9ABDE8" w14:textId="77777777" w:rsidR="007355C5" w:rsidRDefault="00AC17C1">
            <w:r>
              <w:t>All PIPEDA-regulated organizations</w:t>
            </w:r>
          </w:p>
        </w:tc>
        <w:tc>
          <w:tcPr>
            <w:tcW w:w="3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74604B" w14:textId="77777777" w:rsidR="007355C5" w:rsidRDefault="00AC17C1">
            <w:r>
              <w:t>Enforcement and guidance on AI and privacy (e.g., guidance on generative AI, biometric and automated decision-making systems).</w:t>
            </w:r>
          </w:p>
        </w:tc>
        <w:tc>
          <w:tcPr>
            <w:tcW w:w="1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9F167B" w14:textId="77777777" w:rsidR="007355C5" w:rsidRDefault="00AC17C1">
            <w:r>
              <w:t>In force; OPC guidance should be monitored for updates given the AIDA gap.</w:t>
            </w:r>
          </w:p>
        </w:tc>
      </w:tr>
    </w:tbl>
    <w:p w14:paraId="46BEDB14" w14:textId="77777777" w:rsidR="007355C5" w:rsidRDefault="007355C5">
      <w:pPr>
        <w:spacing w:before="200"/>
      </w:pPr>
    </w:p>
    <w:p w14:paraId="22E757C6" w14:textId="77777777" w:rsidR="007355C5" w:rsidRDefault="00AC17C1">
      <w:pPr>
        <w:pStyle w:val="Heading3"/>
      </w:pPr>
      <w:bookmarkStart w:id="41" w:name="_Toc241649703"/>
      <w:r>
        <w:lastRenderedPageBreak/>
        <w:t>10.1.1 Practical Implications for Canada</w:t>
      </w:r>
      <w:bookmarkEnd w:id="41"/>
    </w:p>
    <w:p w14:paraId="201F01AD" w14:textId="77777777" w:rsidR="007355C5" w:rsidRDefault="00AC17C1">
      <w:pPr>
        <w:pStyle w:val="ListParagraph"/>
        <w:numPr>
          <w:ilvl w:val="0"/>
          <w:numId w:val="2"/>
        </w:numPr>
        <w:spacing w:after="80"/>
      </w:pPr>
      <w:r>
        <w:rPr>
          <w:b/>
          <w:bCs/>
        </w:rPr>
        <w:t xml:space="preserve">Prioritize OSFI E-23 readiness now: </w:t>
      </w:r>
      <w:r>
        <w:t>with an effective date of May 1, 2027 and an 18-month transition already underway, the model inventory (Section 7.5) and risk-tiering rubric (Section 7.6) in this playbook should be built to satisfy E-23's model governance, validation, and third-party oversight expectations from the outset.</w:t>
      </w:r>
    </w:p>
    <w:p w14:paraId="60900CE8" w14:textId="77777777" w:rsidR="007355C5" w:rsidRDefault="00AC17C1">
      <w:pPr>
        <w:pStyle w:val="ListParagraph"/>
        <w:numPr>
          <w:ilvl w:val="0"/>
          <w:numId w:val="2"/>
        </w:numPr>
        <w:spacing w:after="80"/>
      </w:pPr>
      <w:r>
        <w:rPr>
          <w:b/>
          <w:bCs/>
        </w:rPr>
        <w:t xml:space="preserve">Do not assume a comprehensive AI law fills the gaps: </w:t>
      </w:r>
      <w:r>
        <w:t>with AIDA dead and no replacement tabled, Canadian obligations for a given AI use case come from a patchwork of OSFI prudential guidance, PIPEDA, Quebec Law 25 (if applicable), and general consumer protection/human-rights law — legal review per use case remains essential.</w:t>
      </w:r>
    </w:p>
    <w:p w14:paraId="114C0FED" w14:textId="77777777" w:rsidR="007355C5" w:rsidRDefault="00AC17C1">
      <w:pPr>
        <w:pStyle w:val="ListParagraph"/>
        <w:numPr>
          <w:ilvl w:val="0"/>
          <w:numId w:val="2"/>
        </w:numPr>
        <w:spacing w:after="80"/>
      </w:pPr>
      <w:r>
        <w:rPr>
          <w:b/>
          <w:bCs/>
        </w:rPr>
        <w:t xml:space="preserve">Automated decision disclosure: </w:t>
      </w:r>
      <w:r>
        <w:t>any customer-facing automated decision-making captured by Quebec Law 25 must provide notice and a path to human review; build this into the human oversight design (Section 11) for any Quebec-facing use case as a baseline expectation elsewhere in Canada as well.</w:t>
      </w:r>
    </w:p>
    <w:p w14:paraId="2E0BC34D" w14:textId="77777777" w:rsidR="007355C5" w:rsidRDefault="00AC17C1">
      <w:pPr>
        <w:pStyle w:val="Heading2"/>
      </w:pPr>
      <w:bookmarkStart w:id="42" w:name="_Toc241649704"/>
      <w:r>
        <w:t>10.2 United States</w:t>
      </w:r>
      <w:bookmarkEnd w:id="42"/>
    </w:p>
    <w:p w14:paraId="14503066" w14:textId="77777777" w:rsidR="007355C5" w:rsidRDefault="00AC17C1">
      <w:pPr>
        <w:spacing w:after="160"/>
      </w:pPr>
      <w:r>
        <w:t>U.S. banks face prudential model-risk guidance from the federal banking agencies, an evolving and currently deregulatory federal posture on algorithmic fair lending, and a fragmented, fast-changing patchwork of state AI laws.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900"/>
        <w:gridCol w:w="3060"/>
        <w:gridCol w:w="1900"/>
      </w:tblGrid>
      <w:tr w:rsidR="007355C5" w14:paraId="10ACD393" w14:textId="77777777">
        <w:trPr>
          <w:tblHeader/>
        </w:trPr>
        <w:tc>
          <w:tcPr>
            <w:tcW w:w="2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35D8135" w14:textId="77777777" w:rsidR="007355C5" w:rsidRDefault="00AC17C1">
            <w:r>
              <w:rPr>
                <w:b/>
                <w:bCs/>
                <w:color w:val="FFFFFF"/>
              </w:rPr>
              <w:t>Regulator / Law</w:t>
            </w:r>
          </w:p>
        </w:tc>
        <w:tc>
          <w:tcPr>
            <w:tcW w:w="1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532CB63" w14:textId="77777777" w:rsidR="007355C5" w:rsidRDefault="00AC17C1">
            <w:r>
              <w:rPr>
                <w:b/>
                <w:bCs/>
                <w:color w:val="FFFFFF"/>
              </w:rPr>
              <w:t>Applies To</w:t>
            </w:r>
          </w:p>
        </w:tc>
        <w:tc>
          <w:tcPr>
            <w:tcW w:w="30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8B1557A" w14:textId="77777777" w:rsidR="007355C5" w:rsidRDefault="00AC17C1">
            <w:r>
              <w:rPr>
                <w:b/>
                <w:bCs/>
                <w:color w:val="FFFFFF"/>
              </w:rPr>
              <w:t>Key AI-Relevant Requirement</w:t>
            </w:r>
          </w:p>
        </w:tc>
        <w:tc>
          <w:tcPr>
            <w:tcW w:w="1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6291239" w14:textId="77777777" w:rsidR="007355C5" w:rsidRDefault="00AC17C1">
            <w:r>
              <w:rPr>
                <w:b/>
                <w:bCs/>
                <w:color w:val="FFFFFF"/>
              </w:rPr>
              <w:t>Status</w:t>
            </w:r>
          </w:p>
        </w:tc>
      </w:tr>
      <w:tr w:rsidR="007355C5" w14:paraId="2BFD864C"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13D7116" w14:textId="77777777" w:rsidR="007355C5" w:rsidRDefault="00AC17C1">
            <w:r>
              <w:rPr>
                <w:b/>
                <w:bCs/>
              </w:rPr>
              <w:t>Federal Reserve / OCC / FDIC — SR 26-2 / OCC Bulletin 2026-13 (Model Risk Management)</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284C28" w14:textId="77777777" w:rsidR="007355C5" w:rsidRDefault="00AC17C1">
            <w:r>
              <w:t>U.S. banks, primarily those with more than $30 billion in assets (others may adopt voluntarily)</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FE7B57" w14:textId="77777777" w:rsidR="007355C5" w:rsidRDefault="00AC17C1">
            <w:r>
              <w:t>Principles-based model risk management framework (model inventory, validation, governance) replacing the 2011 SR 11-7 guidance; narrower definition of “model” and non-enforceable, risk-tailored approach.</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6CE8628" w14:textId="77777777" w:rsidR="007355C5" w:rsidRDefault="00AC17C1">
            <w:r>
              <w:t>Issued April 17, 2026, rescinding SR 11-7. Generative AI and agentic AI are explicitly excluded from scope pending separate forthcoming guidance/RFI — treat these as a current regulatory gap, not a safe harbor.</w:t>
            </w:r>
          </w:p>
        </w:tc>
      </w:tr>
      <w:tr w:rsidR="007355C5" w14:paraId="70EADC32" w14:textId="77777777">
        <w:tc>
          <w:tcPr>
            <w:tcW w:w="2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815DC50" w14:textId="77777777" w:rsidR="007355C5" w:rsidRDefault="00AC17C1">
            <w:r>
              <w:rPr>
                <w:b/>
                <w:bCs/>
              </w:rPr>
              <w:t>CFPB — Regulation B / Equal Credit Opportunity Act (ECOA)</w:t>
            </w:r>
          </w:p>
        </w:tc>
        <w:tc>
          <w:tcPr>
            <w:tcW w:w="1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9B1C693" w14:textId="77777777" w:rsidR="007355C5" w:rsidRDefault="00AC17C1">
            <w:r>
              <w:t>All U.S. lenders, incl. banks using algorithmic/AI-driven underwriting</w:t>
            </w:r>
          </w:p>
        </w:tc>
        <w:tc>
          <w:tcPr>
            <w:tcW w:w="30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741BC340" w14:textId="77777777" w:rsidR="007355C5" w:rsidRDefault="00AC17C1">
            <w:r>
              <w:t>Adverse action notice and specific-reasons requirements apply to AI/ML credit decisions; a April 2026 final rule eliminated disparate impact liability under ECOA, limiting enforcement to intentional discrimination.</w:t>
            </w:r>
          </w:p>
        </w:tc>
        <w:tc>
          <w:tcPr>
            <w:tcW w:w="1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81E63E3" w14:textId="77777777" w:rsidR="007355C5" w:rsidRDefault="00AC17C1">
            <w:r>
              <w:t xml:space="preserve">Rule finalized April 2026; under active legal challenge from civil rights organizations as of mid-2026. Disparate-impact exposure </w:t>
            </w:r>
            <w:r>
              <w:lastRenderedPageBreak/>
              <w:t>may persist under the Fair Housing Act for mortgage lending regardless of the ECOA change — treat as high-volatility and confirm current status before relying on it.</w:t>
            </w:r>
          </w:p>
        </w:tc>
      </w:tr>
      <w:tr w:rsidR="007355C5" w14:paraId="1E0BCBE8"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0E571B" w14:textId="77777777" w:rsidR="007355C5" w:rsidRDefault="00AC17C1">
            <w:r>
              <w:rPr>
                <w:b/>
                <w:bCs/>
              </w:rPr>
              <w:lastRenderedPageBreak/>
              <w:t>FFIEC (Federal Financial Institutions Examination Council)</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30AB35" w14:textId="77777777" w:rsidR="007355C5" w:rsidRDefault="00AC17C1">
            <w:r>
              <w:t>U.S. depository institutions</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24E899" w14:textId="77777777" w:rsidR="007355C5" w:rsidRDefault="00AC17C1">
            <w:r>
              <w:t>Coordinates interagency examination guidance (cybersecurity, third-party risk, consumer compliance) that examiners apply to AI-enabled processes.</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FBEEFB" w14:textId="77777777" w:rsidR="007355C5" w:rsidRDefault="00AC17C1">
            <w:r>
              <w:t>In force; monitor for AI-specific interagency examination guidance as the generative AI RFI process (above) develops.</w:t>
            </w:r>
          </w:p>
        </w:tc>
      </w:tr>
      <w:tr w:rsidR="007355C5" w14:paraId="0FFB46EA" w14:textId="77777777">
        <w:tc>
          <w:tcPr>
            <w:tcW w:w="2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459A4A03" w14:textId="77777777" w:rsidR="007355C5" w:rsidRDefault="00AC17C1">
            <w:r>
              <w:rPr>
                <w:b/>
                <w:bCs/>
              </w:rPr>
              <w:t>State AI / Automated Decision-Making Technology (ADMT) laws — e.g., Colorado SB 26-189</w:t>
            </w:r>
          </w:p>
        </w:tc>
        <w:tc>
          <w:tcPr>
            <w:tcW w:w="1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4B1640E9" w14:textId="77777777" w:rsidR="007355C5" w:rsidRDefault="00AC17C1">
            <w:r>
              <w:t>Businesses (incl. banks/lenders) using ADMT for “consequential decisions” such as lending</w:t>
            </w:r>
          </w:p>
        </w:tc>
        <w:tc>
          <w:tcPr>
            <w:tcW w:w="30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FC51319" w14:textId="77777777" w:rsidR="007355C5" w:rsidRDefault="00AC17C1">
            <w:r>
              <w:t>Consumer notice when ADMT is used in a consequential financial decision; disclosure and explanation on adverse outcomes; right to meaningful human review; developer documentation obligations to deployers (banks).</w:t>
            </w:r>
          </w:p>
        </w:tc>
        <w:tc>
          <w:tcPr>
            <w:tcW w:w="1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67A6180" w14:textId="77777777" w:rsidR="007355C5" w:rsidRDefault="00AC17C1">
            <w:r>
              <w:t>Colorado's original 2024 AI Act was repealed and replaced by SB 26-189 (signed May 14, 2026); new, narrower disclosure-based regime takes effect January 1, 2027. Other states are developing their own, divergent frameworks — expect an ongoing multi-state patchwork.</w:t>
            </w:r>
          </w:p>
        </w:tc>
      </w:tr>
      <w:tr w:rsidR="007355C5" w14:paraId="586C8795"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5DC4990" w14:textId="77777777" w:rsidR="007355C5" w:rsidRDefault="00AC17C1">
            <w:r>
              <w:rPr>
                <w:b/>
                <w:bCs/>
              </w:rPr>
              <w:t>State comprehensive privacy laws (e.g., California CCPA/CPRA and other state privacy statutes)</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FEE8E3" w14:textId="77777777" w:rsidR="007355C5" w:rsidRDefault="00AC17C1">
            <w:r>
              <w:t>Businesses meeting state-specific thresholds, incl. banks for non-</w:t>
            </w:r>
            <w:r>
              <w:lastRenderedPageBreak/>
              <w:t>GLBA-exempt data</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39228E" w14:textId="77777777" w:rsidR="007355C5" w:rsidRDefault="00AC17C1">
            <w:r>
              <w:lastRenderedPageBreak/>
              <w:t xml:space="preserve">Consumer rights (access, deletion, opt-out of certain automated profiling) applicable to data used in AI systems, to the extent not </w:t>
            </w:r>
            <w:r>
              <w:lastRenderedPageBreak/>
              <w:t>exempted by GLBA/financial data carve-outs.</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EF9679" w14:textId="77777777" w:rsidR="007355C5" w:rsidRDefault="00AC17C1">
            <w:r>
              <w:lastRenderedPageBreak/>
              <w:t xml:space="preserve">In force in multiple states; scope and exemptions vary — confirm applicability per </w:t>
            </w:r>
            <w:r>
              <w:lastRenderedPageBreak/>
              <w:t>state and per data type.</w:t>
            </w:r>
          </w:p>
        </w:tc>
      </w:tr>
      <w:tr w:rsidR="007355C5" w14:paraId="01629DA7" w14:textId="77777777">
        <w:tc>
          <w:tcPr>
            <w:tcW w:w="2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569A40FC" w14:textId="77777777" w:rsidR="007355C5" w:rsidRDefault="00AC17C1">
            <w:r>
              <w:rPr>
                <w:b/>
                <w:bCs/>
              </w:rPr>
              <w:lastRenderedPageBreak/>
              <w:t>NIST AI Risk Management Framework (AI RMF)</w:t>
            </w:r>
          </w:p>
        </w:tc>
        <w:tc>
          <w:tcPr>
            <w:tcW w:w="1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76BBE5ED" w14:textId="77777777" w:rsidR="007355C5" w:rsidRDefault="00AC17C1">
            <w:r>
              <w:t>Voluntary; widely referenced by U.S. regulators and examiners as a benchmark</w:t>
            </w:r>
          </w:p>
        </w:tc>
        <w:tc>
          <w:tcPr>
            <w:tcW w:w="306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170A1E5" w14:textId="77777777" w:rsidR="007355C5" w:rsidRDefault="00AC17C1">
            <w:r>
              <w:t>Govern / Map / Measure / Manage structure for AI risk management; commonly used as a control framework banks can point to for AI governance maturity.</w:t>
            </w:r>
          </w:p>
        </w:tc>
        <w:tc>
          <w:tcPr>
            <w:tcW w:w="19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78FF9E23" w14:textId="77777777" w:rsidR="007355C5" w:rsidRDefault="00AC17C1">
            <w:r>
              <w:t>Voluntary framework; useful as a common reference point given the current gap in generative AI-specific prudential guidance.</w:t>
            </w:r>
          </w:p>
        </w:tc>
      </w:tr>
      <w:tr w:rsidR="007355C5" w14:paraId="601CD4B9"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46C9BD" w14:textId="77777777" w:rsidR="007355C5" w:rsidRDefault="00AC17C1">
            <w:r>
              <w:rPr>
                <w:b/>
                <w:bCs/>
              </w:rPr>
              <w:t>FTC Section 5 (unfair or deceptive acts or practices)</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B628BD" w14:textId="77777777" w:rsidR="007355C5" w:rsidRDefault="00AC17C1">
            <w:r>
              <w:t>All entities subject to FTC jurisdiction; applies to bank AI vendors/partners and to banks for non-prudentially-regulated conduct</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C4587C3" w14:textId="77777777" w:rsidR="007355C5" w:rsidRDefault="00AC17C1">
            <w:r>
              <w:t>Enforcement against deceptive AI marketing claims, undisclosed automated decision-making, or unfair algorithmic outcomes.</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765162" w14:textId="77777777" w:rsidR="007355C5" w:rsidRDefault="00AC17C1">
            <w:r>
              <w:t>In force; an ongoing federal backstop even where sector-specific or state AI rules are in flux.</w:t>
            </w:r>
          </w:p>
        </w:tc>
      </w:tr>
    </w:tbl>
    <w:p w14:paraId="4D1998EB" w14:textId="77777777" w:rsidR="007355C5" w:rsidRDefault="007355C5">
      <w:pPr>
        <w:spacing w:before="200"/>
      </w:pPr>
    </w:p>
    <w:p w14:paraId="6A0C55CC" w14:textId="77777777" w:rsidR="007355C5" w:rsidRDefault="00AC17C1">
      <w:pPr>
        <w:pStyle w:val="Heading3"/>
      </w:pPr>
      <w:bookmarkStart w:id="43" w:name="_Toc241649705"/>
      <w:r>
        <w:t>10.2.1 Practical Implications for the United States</w:t>
      </w:r>
      <w:bookmarkEnd w:id="43"/>
    </w:p>
    <w:p w14:paraId="7644588F" w14:textId="77777777" w:rsidR="007355C5" w:rsidRDefault="00AC17C1">
      <w:pPr>
        <w:pStyle w:val="ListParagraph"/>
        <w:numPr>
          <w:ilvl w:val="0"/>
          <w:numId w:val="2"/>
        </w:numPr>
        <w:spacing w:after="80"/>
      </w:pPr>
      <w:r>
        <w:rPr>
          <w:b/>
          <w:bCs/>
        </w:rPr>
        <w:t xml:space="preserve">Do not treat generative/agentic AI as unregulated: </w:t>
      </w:r>
      <w:r>
        <w:t>the 2026 interagency model risk management guidance explicitly excludes generative and agentic AI from scope while regulators prepare separate guidance — in this gap, apply the bank's own MRM standard (Section 7.2) and risk-tiering rubric (Section 7.6) at least as rigorously as the prior SR 11-7 practice, since supervisory expectations are expected to catch up.</w:t>
      </w:r>
    </w:p>
    <w:p w14:paraId="370663E8" w14:textId="77777777" w:rsidR="007355C5" w:rsidRDefault="00AC17C1">
      <w:pPr>
        <w:pStyle w:val="ListParagraph"/>
        <w:numPr>
          <w:ilvl w:val="0"/>
          <w:numId w:val="2"/>
        </w:numPr>
        <w:spacing w:after="80"/>
      </w:pPr>
      <w:r>
        <w:rPr>
          <w:b/>
          <w:bCs/>
        </w:rPr>
        <w:t xml:space="preserve">Track the federal fair-lending rule closely: </w:t>
      </w:r>
      <w:r>
        <w:t>the CFPB's 2026 rule narrowing ECOA enforcement to intentional discrimination is being litigated and could change; banks should continue monitoring AI/ML underwriting models for disparate impact as a matter of prudent risk management (and because the Fair Housing Act's disparate-impact standard may still apply to mortgage lending), not solely because of current CFPB enforcement posture.</w:t>
      </w:r>
    </w:p>
    <w:p w14:paraId="0B337BCC" w14:textId="77777777" w:rsidR="007355C5" w:rsidRDefault="00AC17C1">
      <w:pPr>
        <w:pStyle w:val="ListParagraph"/>
        <w:numPr>
          <w:ilvl w:val="0"/>
          <w:numId w:val="2"/>
        </w:numPr>
        <w:spacing w:after="80"/>
      </w:pPr>
      <w:r>
        <w:rPr>
          <w:b/>
          <w:bCs/>
        </w:rPr>
        <w:t xml:space="preserve">Plan for a growing state-by-state patchwork: </w:t>
      </w:r>
      <w:r>
        <w:t>Colorado's shift to a lighter-touch, disclosure-based ADMT regime (effective January 1, 2027) may become a template other states follow, but divergence across states is likely — build the consumer notice, explanation, and human-review capability described in Section 11 as a national baseline capability rather than a state-specific afterthought.</w:t>
      </w:r>
    </w:p>
    <w:p w14:paraId="512103A5" w14:textId="77777777" w:rsidR="007355C5" w:rsidRDefault="00AC17C1">
      <w:pPr>
        <w:pStyle w:val="ListParagraph"/>
        <w:numPr>
          <w:ilvl w:val="0"/>
          <w:numId w:val="2"/>
        </w:numPr>
        <w:spacing w:after="80"/>
      </w:pPr>
      <w:r>
        <w:rPr>
          <w:b/>
          <w:bCs/>
        </w:rPr>
        <w:t xml:space="preserve">Use NIST AI RMF as the connective tissue: </w:t>
      </w:r>
      <w:r>
        <w:t xml:space="preserve">given the prudential guidance gap for generative/agentic AI, mapping the bank's AI Governance Council framework (Section 7) </w:t>
      </w:r>
      <w:r>
        <w:lastRenderedPageBreak/>
        <w:t>and this playbook's controls to the NIST AI RMF's Govern/Map/Measure/Manage functions gives examiners and auditors a recognized reference point.</w:t>
      </w:r>
    </w:p>
    <w:p w14:paraId="7A95B62B" w14:textId="77777777" w:rsidR="007355C5" w:rsidRDefault="00AC17C1">
      <w:pPr>
        <w:pStyle w:val="Heading2"/>
      </w:pPr>
      <w:bookmarkStart w:id="44" w:name="_Toc241649706"/>
      <w:r>
        <w:t>10.3 Cross-Border Comparison</w:t>
      </w:r>
      <w:bookmarkEnd w:id="4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3430"/>
        <w:gridCol w:w="3430"/>
      </w:tblGrid>
      <w:tr w:rsidR="007355C5" w14:paraId="3547E7D9" w14:textId="77777777">
        <w:trPr>
          <w:tblHeader/>
        </w:trPr>
        <w:tc>
          <w:tcPr>
            <w:tcW w:w="2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C7A78AB" w14:textId="77777777" w:rsidR="007355C5" w:rsidRDefault="00AC17C1">
            <w:r>
              <w:rPr>
                <w:b/>
                <w:bCs/>
                <w:color w:val="FFFFFF"/>
              </w:rPr>
              <w:t>Dimension</w:t>
            </w:r>
          </w:p>
        </w:tc>
        <w:tc>
          <w:tcPr>
            <w:tcW w:w="343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1742B6F" w14:textId="77777777" w:rsidR="007355C5" w:rsidRDefault="00AC17C1">
            <w:r>
              <w:rPr>
                <w:b/>
                <w:bCs/>
                <w:color w:val="FFFFFF"/>
              </w:rPr>
              <w:t>Canada</w:t>
            </w:r>
          </w:p>
        </w:tc>
        <w:tc>
          <w:tcPr>
            <w:tcW w:w="343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0B33012" w14:textId="77777777" w:rsidR="007355C5" w:rsidRDefault="00AC17C1">
            <w:r>
              <w:rPr>
                <w:b/>
                <w:bCs/>
                <w:color w:val="FFFFFF"/>
              </w:rPr>
              <w:t>United States</w:t>
            </w:r>
          </w:p>
        </w:tc>
      </w:tr>
      <w:tr w:rsidR="007355C5" w14:paraId="531DDDEF"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964A59" w14:textId="77777777" w:rsidR="007355C5" w:rsidRDefault="00AC17C1">
            <w:r>
              <w:rPr>
                <w:b/>
                <w:bCs/>
              </w:rPr>
              <w:t>Comprehensive AI-specific statute</w:t>
            </w:r>
          </w:p>
        </w:tc>
        <w:tc>
          <w:tcPr>
            <w:tcW w:w="34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AEFBFD" w14:textId="77777777" w:rsidR="007355C5" w:rsidRDefault="00AC17C1">
            <w:r>
              <w:t>None currently in force (AIDA died with Bill C-27, January 2025; no replacement tabled as of mid-2026).</w:t>
            </w:r>
          </w:p>
        </w:tc>
        <w:tc>
          <w:tcPr>
            <w:tcW w:w="34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0619F0" w14:textId="77777777" w:rsidR="007355C5" w:rsidRDefault="00AC17C1">
            <w:r>
              <w:t>None at the federal level; state-by-state patchwork (e.g., Colorado's SB 26-189, effective Jan. 1, 2027) is the primary source of AI-specific obligations.</w:t>
            </w:r>
          </w:p>
        </w:tc>
      </w:tr>
      <w:tr w:rsidR="007355C5" w14:paraId="23CF0F90" w14:textId="77777777">
        <w:tc>
          <w:tcPr>
            <w:tcW w:w="2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BD7FA2F" w14:textId="77777777" w:rsidR="007355C5" w:rsidRDefault="00AC17C1">
            <w:r>
              <w:rPr>
                <w:b/>
                <w:bCs/>
              </w:rPr>
              <w:t>Prudential model risk management</w:t>
            </w:r>
          </w:p>
        </w:tc>
        <w:tc>
          <w:tcPr>
            <w:tcW w:w="343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7A5A72D" w14:textId="77777777" w:rsidR="007355C5" w:rsidRDefault="00AC17C1">
            <w:r>
              <w:t>OSFI Guideline E-23 — explicit, comprehensive, AI/ML-inclusive; effective May 1, 2027.</w:t>
            </w:r>
          </w:p>
        </w:tc>
        <w:tc>
          <w:tcPr>
            <w:tcW w:w="343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590B5BD6" w14:textId="77777777" w:rsidR="007355C5" w:rsidRDefault="00AC17C1">
            <w:r>
              <w:t>Federal Reserve/OCC/FDIC SR 26-2 / OCC Bulletin 2026-13 (April 2026) — principles-based, primarily for banks &gt;$30B in assets; explicitly excludes generative/agentic AI pending future guidance.</w:t>
            </w:r>
          </w:p>
        </w:tc>
      </w:tr>
      <w:tr w:rsidR="007355C5" w14:paraId="782C64A8"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994D397" w14:textId="77777777" w:rsidR="007355C5" w:rsidRDefault="00AC17C1">
            <w:r>
              <w:rPr>
                <w:b/>
                <w:bCs/>
              </w:rPr>
              <w:t>Fair lending / anti-discrimination for algorithmic decisions</w:t>
            </w:r>
          </w:p>
        </w:tc>
        <w:tc>
          <w:tcPr>
            <w:tcW w:w="34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861E40" w14:textId="77777777" w:rsidR="007355C5" w:rsidRDefault="00AC17C1">
            <w:r>
              <w:t>General human-rights and consumer-protection law; no AI-specific fair-lending carve-out.</w:t>
            </w:r>
          </w:p>
        </w:tc>
        <w:tc>
          <w:tcPr>
            <w:tcW w:w="34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434149" w14:textId="77777777" w:rsidR="007355C5" w:rsidRDefault="00AC17C1">
            <w:r>
              <w:t>ECOA/Regulation B narrowed to intentional discrimination only (2026 CFPB rule, under legal challenge); Fair Housing Act disparate-impact standard may still apply to mortgage lending.</w:t>
            </w:r>
          </w:p>
        </w:tc>
      </w:tr>
      <w:tr w:rsidR="007355C5" w14:paraId="41993F4E" w14:textId="77777777">
        <w:tc>
          <w:tcPr>
            <w:tcW w:w="2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5A1E8AC0" w14:textId="77777777" w:rsidR="007355C5" w:rsidRDefault="00AC17C1">
            <w:r>
              <w:rPr>
                <w:b/>
                <w:bCs/>
              </w:rPr>
              <w:t>Automated decision-making disclosure to consumers</w:t>
            </w:r>
          </w:p>
        </w:tc>
        <w:tc>
          <w:tcPr>
            <w:tcW w:w="343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0BDBC31" w14:textId="77777777" w:rsidR="007355C5" w:rsidRDefault="00AC17C1">
            <w:r>
              <w:t>Quebec Law 25 requires notice and right to human review for decisions based exclusively on automated processing.</w:t>
            </w:r>
          </w:p>
        </w:tc>
        <w:tc>
          <w:tcPr>
            <w:tcW w:w="343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69E998D6" w14:textId="77777777" w:rsidR="007355C5" w:rsidRDefault="00AC17C1">
            <w:r>
              <w:t>Emerging via state law (e.g., Colorado SB 26-189 from Jan. 2027) rather than federal law; requirements vary by state.</w:t>
            </w:r>
          </w:p>
        </w:tc>
      </w:tr>
      <w:tr w:rsidR="007355C5" w14:paraId="154294E0"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1E6CF4" w14:textId="77777777" w:rsidR="007355C5" w:rsidRDefault="00AC17C1">
            <w:r>
              <w:rPr>
                <w:b/>
                <w:bCs/>
              </w:rPr>
              <w:t>Privacy law relevant to AI training/inference data</w:t>
            </w:r>
          </w:p>
        </w:tc>
        <w:tc>
          <w:tcPr>
            <w:tcW w:w="34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468968" w14:textId="77777777" w:rsidR="007355C5" w:rsidRDefault="00AC17C1">
            <w:r>
              <w:t>PIPEDA (federal) plus provincial statutes (e.g., Quebec Law 25).</w:t>
            </w:r>
          </w:p>
        </w:tc>
        <w:tc>
          <w:tcPr>
            <w:tcW w:w="343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124088" w14:textId="77777777" w:rsidR="007355C5" w:rsidRDefault="00AC17C1">
            <w:r>
              <w:t>Sectoral (GLBA for financial data) plus a growing set of state comprehensive privacy laws (e.g., CCPA/CPRA).</w:t>
            </w:r>
          </w:p>
        </w:tc>
      </w:tr>
      <w:tr w:rsidR="007355C5" w14:paraId="0570FE55" w14:textId="77777777">
        <w:tc>
          <w:tcPr>
            <w:tcW w:w="250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36560554" w14:textId="77777777" w:rsidR="007355C5" w:rsidRDefault="00AC17C1">
            <w:r>
              <w:rPr>
                <w:b/>
                <w:bCs/>
              </w:rPr>
              <w:t>Overall regulatory trajectory (as of mid-2026)</w:t>
            </w:r>
          </w:p>
        </w:tc>
        <w:tc>
          <w:tcPr>
            <w:tcW w:w="343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1D174AF3" w14:textId="77777777" w:rsidR="007355C5" w:rsidRDefault="00AC17C1">
            <w:r>
              <w:t>Prudential (OSFI) tightening AI/ML model governance; broader AI law in a holding pattern.</w:t>
            </w:r>
          </w:p>
        </w:tc>
        <w:tc>
          <w:tcPr>
            <w:tcW w:w="3430" w:type="dxa"/>
            <w:tcBorders>
              <w:top w:val="single" w:sz="1" w:space="0" w:color="CCCCCC"/>
              <w:left w:val="single" w:sz="1" w:space="0" w:color="CCCCCC"/>
              <w:bottom w:val="single" w:sz="1" w:space="0" w:color="CCCCCC"/>
              <w:right w:val="single" w:sz="1" w:space="0" w:color="CCCCCC"/>
            </w:tcBorders>
            <w:shd w:val="clear" w:color="auto" w:fill="E9F1F8"/>
            <w:tcMar>
              <w:top w:w="80" w:type="dxa"/>
              <w:left w:w="120" w:type="dxa"/>
              <w:bottom w:w="80" w:type="dxa"/>
              <w:right w:w="120" w:type="dxa"/>
            </w:tcMar>
            <w:vAlign w:val="center"/>
          </w:tcPr>
          <w:p w14:paraId="21A3012E" w14:textId="77777777" w:rsidR="007355C5" w:rsidRDefault="00AC17C1">
            <w:r>
              <w:t>Prudential guidance modernizing/loosening in places; fair-lending enforcement narrowing federally while states experiment with new disclosure-based AI rules.</w:t>
            </w:r>
          </w:p>
        </w:tc>
      </w:tr>
    </w:tbl>
    <w:p w14:paraId="5AD9B455" w14:textId="77777777" w:rsidR="007355C5" w:rsidRDefault="007355C5">
      <w:pPr>
        <w:spacing w:before="200"/>
      </w:pPr>
    </w:p>
    <w:p w14:paraId="6CE7F638" w14:textId="77777777" w:rsidR="007355C5" w:rsidRDefault="00AC17C1">
      <w:pPr>
        <w:pStyle w:val="Heading2"/>
      </w:pPr>
      <w:bookmarkStart w:id="45" w:name="_Toc241649707"/>
      <w:r>
        <w:t>10.4 Other Jurisdictions</w:t>
      </w:r>
      <w:bookmarkEnd w:id="45"/>
    </w:p>
    <w:p w14:paraId="19DDBE47" w14:textId="77777777" w:rsidR="007355C5" w:rsidRDefault="00AC17C1">
      <w:pPr>
        <w:spacing w:after="160"/>
      </w:pPr>
      <w:r>
        <w:t>Banks operating beyond Canada and the United States should extend this map to their other jurisdictions using the same structure (regulator/law, applicability, AI-relevant requirement, status, practical implications).</w:t>
      </w:r>
    </w:p>
    <w:p w14:paraId="6AD96E0D" w14:textId="77777777" w:rsidR="007355C5" w:rsidRDefault="00AC17C1">
      <w:pPr>
        <w:pBdr>
          <w:left w:val="single" w:sz="12" w:space="8" w:color="B00020"/>
        </w:pBdr>
        <w:spacing w:before="80" w:after="200"/>
        <w:ind w:left="200"/>
      </w:pPr>
      <w:r>
        <w:rPr>
          <w:i/>
          <w:iCs/>
          <w:color w:val="B00020"/>
        </w:rPr>
        <w:lastRenderedPageBreak/>
        <w:t>[PLACEHOLDER — Add jurisdiction-specific regulatory maps for other countries of operation (e.g., EU AI Act and GDPR, UK PRA/FCA expectations, ISO/IEC 42001 as a voluntary international standard) using the Section 10.1/10.2 format as a template]</w:t>
      </w:r>
    </w:p>
    <w:p w14:paraId="325FD4C5" w14:textId="77777777" w:rsidR="007355C5" w:rsidRDefault="00AC17C1">
      <w:pPr>
        <w:pBdr>
          <w:left w:val="single" w:sz="12" w:space="8" w:color="B00020"/>
        </w:pBdr>
        <w:spacing w:before="80" w:after="200"/>
        <w:ind w:left="200"/>
      </w:pPr>
      <w:r>
        <w:rPr>
          <w:i/>
          <w:iCs/>
          <w:color w:val="B00020"/>
        </w:rPr>
        <w:t>[PLACEHOLDER — Assign a named legal/compliance owner to review and refresh Section 10 at least once per Council cycle (Section 7.4.3), and immediately upon major regulatory developments (e.g., resolution of the CFPB rule litigation, new OSFI guidance, additional state AI laws)]</w:t>
      </w:r>
    </w:p>
    <w:p w14:paraId="217260B6" w14:textId="77777777" w:rsidR="007355C5" w:rsidRDefault="00AC17C1">
      <w:pPr>
        <w:pStyle w:val="Heading2"/>
      </w:pPr>
      <w:bookmarkStart w:id="46" w:name="_Toc241649708"/>
      <w:r>
        <w:t>10.5 Regulatory Applicability Mapping</w:t>
      </w:r>
      <w:bookmarkEnd w:id="46"/>
    </w:p>
    <w:p w14:paraId="3BF4E31C" w14:textId="77777777" w:rsidR="007355C5" w:rsidRDefault="00AC17C1">
      <w:pPr>
        <w:spacing w:after="160"/>
      </w:pPr>
      <w:r>
        <w:t>The regulatory map in Sections 10.1–10.4 identifies which regimes exist; it does not by itself tell the bank which obligations apply to a specific AI use case. Each institution should maintain an applicability matrix that resolves regulatory obligations against the specific legal entity, product, customer jurisdiction(s), and data flow(s) involved, and should tie the AI/Model Inventory's “Applicable Regulatory Regime(s)” field (Section 7.5) to this matrix rather than treating it as a free-text entry.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100"/>
        <w:gridCol w:w="1900"/>
        <w:gridCol w:w="1900"/>
        <w:gridCol w:w="1660"/>
      </w:tblGrid>
      <w:tr w:rsidR="007355C5" w14:paraId="32CB1BB5" w14:textId="77777777">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CB97D77" w14:textId="77777777" w:rsidR="007355C5" w:rsidRDefault="00AC17C1">
            <w:r>
              <w:rPr>
                <w:b/>
                <w:bCs/>
                <w:color w:val="FFFFFF"/>
              </w:rPr>
              <w:t>Legal Entity</w:t>
            </w:r>
          </w:p>
        </w:tc>
        <w:tc>
          <w:tcPr>
            <w:tcW w:w="21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30F2555" w14:textId="77777777" w:rsidR="007355C5" w:rsidRDefault="00AC17C1">
            <w:r>
              <w:rPr>
                <w:b/>
                <w:bCs/>
                <w:color w:val="FFFFFF"/>
              </w:rPr>
              <w:t>Product / Use Case</w:t>
            </w:r>
          </w:p>
        </w:tc>
        <w:tc>
          <w:tcPr>
            <w:tcW w:w="1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7180551" w14:textId="77777777" w:rsidR="007355C5" w:rsidRDefault="00AC17C1">
            <w:r>
              <w:rPr>
                <w:b/>
                <w:bCs/>
                <w:color w:val="FFFFFF"/>
              </w:rPr>
              <w:t>Customer Jurisdiction(s)</w:t>
            </w:r>
          </w:p>
        </w:tc>
        <w:tc>
          <w:tcPr>
            <w:tcW w:w="1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F90F3A8" w14:textId="77777777" w:rsidR="007355C5" w:rsidRDefault="00AC17C1">
            <w:r>
              <w:rPr>
                <w:b/>
                <w:bCs/>
                <w:color w:val="FFFFFF"/>
              </w:rPr>
              <w:t>Data Flow(s)</w:t>
            </w:r>
          </w:p>
        </w:tc>
        <w:tc>
          <w:tcPr>
            <w:tcW w:w="16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6E037D8" w14:textId="77777777" w:rsidR="007355C5" w:rsidRDefault="00AC17C1">
            <w:r>
              <w:rPr>
                <w:b/>
                <w:bCs/>
                <w:color w:val="FFFFFF"/>
              </w:rPr>
              <w:t>Applicable Regime(s)</w:t>
            </w:r>
          </w:p>
        </w:tc>
      </w:tr>
      <w:tr w:rsidR="007355C5" w14:paraId="64DDCA4E"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F2B81C" w14:textId="77777777" w:rsidR="007355C5" w:rsidRDefault="00AC17C1">
            <w:r>
              <w:t>[Entity name]</w:t>
            </w:r>
          </w:p>
        </w:tc>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8DDD57" w14:textId="77777777" w:rsidR="007355C5" w:rsidRDefault="00AC17C1">
            <w:r>
              <w:t>[Product/use case]</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714447" w14:textId="77777777" w:rsidR="007355C5" w:rsidRDefault="00AC17C1">
            <w:r>
              <w:t>[Jurisdiction(s)]</w:t>
            </w:r>
          </w:p>
        </w:tc>
        <w:tc>
          <w:tcPr>
            <w:tcW w:w="1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54F9F6" w14:textId="77777777" w:rsidR="007355C5" w:rsidRDefault="00AC17C1">
            <w:r>
              <w:t>[Cross-border/data residency notes]</w:t>
            </w:r>
          </w:p>
        </w:tc>
        <w:tc>
          <w:tcPr>
            <w:tcW w:w="16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606259C" w14:textId="77777777" w:rsidR="007355C5" w:rsidRDefault="00AC17C1">
            <w:r>
              <w:t>[Regime(s) from Section 10]</w:t>
            </w:r>
          </w:p>
        </w:tc>
      </w:tr>
    </w:tbl>
    <w:p w14:paraId="2BA6FD43" w14:textId="77777777" w:rsidR="007355C5" w:rsidRDefault="00AC17C1">
      <w:pPr>
        <w:pBdr>
          <w:left w:val="single" w:sz="12" w:space="8" w:color="B00020"/>
        </w:pBdr>
        <w:spacing w:before="80" w:after="200"/>
        <w:ind w:left="200"/>
      </w:pPr>
      <w:r>
        <w:rPr>
          <w:i/>
          <w:iCs/>
          <w:color w:val="B00020"/>
        </w:rPr>
        <w:t>[PLACEHOLDER — Populate the applicability matrix for every legal entity, product, and jurisdiction the bank operates in, owned jointly by Legal/Compliance and the AI Governance Council, and refresh it on the same cadence as Section 10 (Section 7.4.3)]</w:t>
      </w:r>
    </w:p>
    <w:p w14:paraId="404EAE89" w14:textId="77777777" w:rsidR="007355C5" w:rsidRDefault="00AC17C1">
      <w:r>
        <w:br w:type="page"/>
      </w:r>
    </w:p>
    <w:p w14:paraId="258A8447" w14:textId="77777777" w:rsidR="007355C5" w:rsidRDefault="00AC17C1">
      <w:pPr>
        <w:pStyle w:val="Heading1"/>
      </w:pPr>
      <w:bookmarkStart w:id="47" w:name="_Toc241649709"/>
      <w:r>
        <w:lastRenderedPageBreak/>
        <w:t>11. Human Oversight and Escalation</w:t>
      </w:r>
      <w:bookmarkEnd w:id="47"/>
    </w:p>
    <w:p w14:paraId="4E016EB6" w14:textId="77777777" w:rsidR="007355C5" w:rsidRDefault="00AC17C1">
      <w:pPr>
        <w:pStyle w:val="ListParagraph"/>
        <w:numPr>
          <w:ilvl w:val="0"/>
          <w:numId w:val="2"/>
        </w:numPr>
        <w:spacing w:after="80"/>
      </w:pPr>
      <w:r>
        <w:t>Defined decision rights: which decisions AI may make autonomously, which require human review, and which are prohibited from full automation.</w:t>
      </w:r>
    </w:p>
    <w:p w14:paraId="28010A92" w14:textId="77777777" w:rsidR="007355C5" w:rsidRDefault="00AC17C1">
      <w:pPr>
        <w:pStyle w:val="ListParagraph"/>
        <w:numPr>
          <w:ilvl w:val="0"/>
          <w:numId w:val="2"/>
        </w:numPr>
        <w:spacing w:after="80"/>
      </w:pPr>
      <w:r>
        <w:t>Escalation paths for customers and employees to reach a human when an AI interaction is unsatisfactory or a decision is disputed.</w:t>
      </w:r>
    </w:p>
    <w:p w14:paraId="4AFF3D55" w14:textId="77777777" w:rsidR="007355C5" w:rsidRDefault="00AC17C1">
      <w:pPr>
        <w:pStyle w:val="ListParagraph"/>
        <w:numPr>
          <w:ilvl w:val="0"/>
          <w:numId w:val="2"/>
        </w:numPr>
        <w:spacing w:after="80"/>
      </w:pPr>
      <w:r>
        <w:t>Override and appeal mechanisms for AI-driven credit, fraud, and account decisions, including the disclosure and human-review capability required by Quebec Law 25 and emerging U.S. state ADMT laws (Section 10).</w:t>
      </w:r>
    </w:p>
    <w:p w14:paraId="3CE0CBDB" w14:textId="77777777" w:rsidR="007355C5" w:rsidRDefault="00AC17C1">
      <w:pPr>
        <w:pStyle w:val="ListParagraph"/>
        <w:numPr>
          <w:ilvl w:val="0"/>
          <w:numId w:val="2"/>
        </w:numPr>
        <w:spacing w:after="80"/>
      </w:pPr>
      <w:r>
        <w:t>Training for frontline and oversight staff on how to interpret and challenge AI outputs.</w:t>
      </w:r>
    </w:p>
    <w:p w14:paraId="16F97291" w14:textId="77777777" w:rsidR="007355C5" w:rsidRDefault="00AC17C1">
      <w:pPr>
        <w:pBdr>
          <w:left w:val="single" w:sz="12" w:space="8" w:color="B00020"/>
        </w:pBdr>
        <w:spacing w:before="80" w:after="200"/>
        <w:ind w:left="200"/>
      </w:pPr>
      <w:r>
        <w:rPr>
          <w:i/>
          <w:iCs/>
          <w:color w:val="B00020"/>
        </w:rPr>
        <w:t>[PLACEHOLDER — Decision-rights matrix by use case and escalation SLAs]</w:t>
      </w:r>
    </w:p>
    <w:p w14:paraId="7AACEEA0" w14:textId="77777777" w:rsidR="007355C5" w:rsidRDefault="00AC17C1">
      <w:pPr>
        <w:pStyle w:val="Heading1"/>
      </w:pPr>
      <w:bookmarkStart w:id="48" w:name="_Toc241649710"/>
      <w:r>
        <w:t>12. Incident Response and Business Continuity</w:t>
      </w:r>
      <w:bookmarkEnd w:id="48"/>
    </w:p>
    <w:p w14:paraId="574B7B0A" w14:textId="77777777" w:rsidR="007355C5" w:rsidRDefault="00AC17C1">
      <w:pPr>
        <w:pStyle w:val="ListParagraph"/>
        <w:numPr>
          <w:ilvl w:val="0"/>
          <w:numId w:val="2"/>
        </w:numPr>
        <w:spacing w:after="80"/>
      </w:pPr>
      <w:r>
        <w:t>AI-specific incident response playbooks (e.g., a model producing harmful, biased, or clearly incorrect outputs at scale; an agent taking an unauthorized action).</w:t>
      </w:r>
    </w:p>
    <w:p w14:paraId="05BC25D9" w14:textId="77777777" w:rsidR="007355C5" w:rsidRDefault="00AC17C1">
      <w:pPr>
        <w:pStyle w:val="ListParagraph"/>
        <w:numPr>
          <w:ilvl w:val="0"/>
          <w:numId w:val="2"/>
        </w:numPr>
        <w:spacing w:after="80"/>
      </w:pPr>
      <w:r>
        <w:t>Kill-switch and rollback capability for every production AI system, including generative AI assistants and autonomous agents built on Azure AI Foundry/Azure OpenAI Service.</w:t>
      </w:r>
    </w:p>
    <w:p w14:paraId="1E04A8EF" w14:textId="77777777" w:rsidR="007355C5" w:rsidRDefault="00AC17C1">
      <w:pPr>
        <w:pStyle w:val="ListParagraph"/>
        <w:numPr>
          <w:ilvl w:val="0"/>
          <w:numId w:val="2"/>
        </w:numPr>
        <w:spacing w:after="80"/>
      </w:pPr>
      <w:r>
        <w:t>Defined severity levels and communication plans for AI incidents, integrated with the bank's broader incident management and disclosure obligations, and with Microsoft Sentinel for detection and alerting.</w:t>
      </w:r>
    </w:p>
    <w:p w14:paraId="33D1AE05" w14:textId="77777777" w:rsidR="007355C5" w:rsidRDefault="00AC17C1">
      <w:pPr>
        <w:pStyle w:val="ListParagraph"/>
        <w:numPr>
          <w:ilvl w:val="0"/>
          <w:numId w:val="2"/>
        </w:numPr>
        <w:spacing w:after="80"/>
      </w:pPr>
      <w:r>
        <w:t>Business continuity/disaster recovery plans that account for Azure region or Azure OpenAI Service outages and degraded-mode manual fallback procedures.</w:t>
      </w:r>
    </w:p>
    <w:p w14:paraId="0E0DBD74" w14:textId="77777777" w:rsidR="007355C5" w:rsidRDefault="00AC17C1">
      <w:pPr>
        <w:pStyle w:val="ListParagraph"/>
        <w:numPr>
          <w:ilvl w:val="0"/>
          <w:numId w:val="2"/>
        </w:numPr>
        <w:spacing w:after="80"/>
      </w:pPr>
      <w:r>
        <w:t>Post-incident review and feedback loop into model retraining, controls, and the model inventory/risk tier.</w:t>
      </w:r>
    </w:p>
    <w:p w14:paraId="4029B121" w14:textId="77777777" w:rsidR="007355C5" w:rsidRDefault="00AC17C1">
      <w:pPr>
        <w:pBdr>
          <w:left w:val="single" w:sz="12" w:space="8" w:color="B00020"/>
        </w:pBdr>
        <w:spacing w:before="80" w:after="200"/>
        <w:ind w:left="200"/>
      </w:pPr>
      <w:r>
        <w:rPr>
          <w:i/>
          <w:iCs/>
          <w:color w:val="B00020"/>
        </w:rPr>
        <w:t>[PLACEHOLDER — AI incident severity matrix, response runbook, and links to enterprise incident management process]</w:t>
      </w:r>
    </w:p>
    <w:p w14:paraId="1A7D1C5A" w14:textId="77777777" w:rsidR="007355C5" w:rsidRDefault="00AC17C1">
      <w:pPr>
        <w:pStyle w:val="Heading1"/>
      </w:pPr>
      <w:bookmarkStart w:id="49" w:name="_Toc241649711"/>
      <w:r>
        <w:t>13. Vendor and Third-Party AI Risk Management</w:t>
      </w:r>
      <w:bookmarkEnd w:id="49"/>
    </w:p>
    <w:p w14:paraId="4CB5689C" w14:textId="77777777" w:rsidR="007355C5" w:rsidRDefault="00AC17C1">
      <w:pPr>
        <w:pStyle w:val="ListParagraph"/>
        <w:numPr>
          <w:ilvl w:val="0"/>
          <w:numId w:val="2"/>
        </w:numPr>
        <w:spacing w:after="80"/>
      </w:pPr>
      <w:r>
        <w:t>Due diligence standard for AI/ML vendors and foundation model providers (data handling, security certifications, model transparency, sub-processor disclosure), including models sourced via the Azure AI Foundry model catalog.</w:t>
      </w:r>
    </w:p>
    <w:p w14:paraId="667B0030" w14:textId="77777777" w:rsidR="007355C5" w:rsidRDefault="00AC17C1">
      <w:pPr>
        <w:pStyle w:val="ListParagraph"/>
        <w:numPr>
          <w:ilvl w:val="0"/>
          <w:numId w:val="2"/>
        </w:numPr>
        <w:spacing w:after="80"/>
      </w:pPr>
      <w:r>
        <w:t>Contractual protections: data usage restrictions, right to audit, indemnification, model change notification, and exit/portability rights, consistent with OSFI Guideline B-10 in Canada.</w:t>
      </w:r>
    </w:p>
    <w:p w14:paraId="17C31146" w14:textId="77777777" w:rsidR="007355C5" w:rsidRDefault="00AC17C1">
      <w:pPr>
        <w:pStyle w:val="ListParagraph"/>
        <w:numPr>
          <w:ilvl w:val="0"/>
          <w:numId w:val="2"/>
        </w:numPr>
        <w:spacing w:after="80"/>
      </w:pPr>
      <w:r>
        <w:t>Ongoing vendor monitoring, not just point-in-time onboarding assessment.</w:t>
      </w:r>
    </w:p>
    <w:p w14:paraId="317A6A1F" w14:textId="77777777" w:rsidR="007355C5" w:rsidRDefault="00AC17C1">
      <w:pPr>
        <w:pStyle w:val="ListParagraph"/>
        <w:numPr>
          <w:ilvl w:val="0"/>
          <w:numId w:val="2"/>
        </w:numPr>
        <w:spacing w:after="80"/>
      </w:pPr>
      <w:r>
        <w:t>Concentration risk management across critical AI vendors/cloud providers, including the bank's dependency on Microsoft Azure and mitigations (e.g., data portability, documented exit plan).</w:t>
      </w:r>
    </w:p>
    <w:p w14:paraId="4045E9E0" w14:textId="77777777" w:rsidR="007355C5" w:rsidRDefault="00AC17C1">
      <w:pPr>
        <w:pBdr>
          <w:left w:val="single" w:sz="12" w:space="8" w:color="B00020"/>
        </w:pBdr>
        <w:spacing w:before="80" w:after="200"/>
        <w:ind w:left="200"/>
      </w:pPr>
      <w:r>
        <w:rPr>
          <w:i/>
          <w:iCs/>
          <w:color w:val="B00020"/>
        </w:rPr>
        <w:t>[PLACEHOLDER — Vendor risk questionnaire, approved vendor list, and contract clause library]</w:t>
      </w:r>
    </w:p>
    <w:p w14:paraId="5529FC35" w14:textId="77777777" w:rsidR="007355C5" w:rsidRDefault="00AC17C1">
      <w:r>
        <w:br w:type="page"/>
      </w:r>
    </w:p>
    <w:p w14:paraId="46BD622F" w14:textId="77777777" w:rsidR="007355C5" w:rsidRDefault="00AC17C1">
      <w:pPr>
        <w:pStyle w:val="Heading1"/>
      </w:pPr>
      <w:bookmarkStart w:id="50" w:name="_Toc241649712"/>
      <w:r>
        <w:lastRenderedPageBreak/>
        <w:t>14. Data Strategy and Data Governance</w:t>
      </w:r>
      <w:bookmarkEnd w:id="50"/>
    </w:p>
    <w:p w14:paraId="6A6C7240" w14:textId="77777777" w:rsidR="007355C5" w:rsidRDefault="00AC17C1">
      <w:pPr>
        <w:pStyle w:val="ListParagraph"/>
        <w:numPr>
          <w:ilvl w:val="0"/>
          <w:numId w:val="2"/>
        </w:numPr>
        <w:spacing w:after="80"/>
      </w:pPr>
      <w:r>
        <w:t>Enterprise data governance (ownership, quality standards, lineage, and metadata management) as the foundation for trustworthy AI, using Microsoft Purview as the enterprise data catalog and governance layer.</w:t>
      </w:r>
    </w:p>
    <w:p w14:paraId="5D67DE89" w14:textId="77777777" w:rsidR="007355C5" w:rsidRDefault="00AC17C1">
      <w:pPr>
        <w:pStyle w:val="ListParagraph"/>
        <w:numPr>
          <w:ilvl w:val="0"/>
          <w:numId w:val="2"/>
        </w:numPr>
        <w:spacing w:after="80"/>
      </w:pPr>
      <w:r>
        <w:t>Data platform strategy enabling secure, governed access to data for model training and retrieval-augmented generation (RAG), built on Microsoft Fabric (OneLake) and Azure Data Lake Storage.</w:t>
      </w:r>
    </w:p>
    <w:p w14:paraId="74D10D13" w14:textId="77777777" w:rsidR="007355C5" w:rsidRDefault="00AC17C1">
      <w:pPr>
        <w:pStyle w:val="ListParagraph"/>
        <w:numPr>
          <w:ilvl w:val="0"/>
          <w:numId w:val="2"/>
        </w:numPr>
        <w:spacing w:after="80"/>
      </w:pPr>
      <w:r>
        <w:t>Master/reference data quality for entities used in fraud, AML, and credit models (customer, account, counterparty).</w:t>
      </w:r>
    </w:p>
    <w:p w14:paraId="12EF93E8" w14:textId="77777777" w:rsidR="007355C5" w:rsidRDefault="00AC17C1">
      <w:pPr>
        <w:pStyle w:val="ListParagraph"/>
        <w:numPr>
          <w:ilvl w:val="0"/>
          <w:numId w:val="2"/>
        </w:numPr>
        <w:spacing w:after="80"/>
      </w:pPr>
      <w:r>
        <w:t>Synthetic data and data augmentation strategy for rare-event modeling (e.g., fraud, default) while preserving privacy.</w:t>
      </w:r>
    </w:p>
    <w:p w14:paraId="0C09E474" w14:textId="77777777" w:rsidR="007355C5" w:rsidRDefault="00AC17C1">
      <w:pPr>
        <w:pBdr>
          <w:left w:val="single" w:sz="12" w:space="8" w:color="B00020"/>
        </w:pBdr>
        <w:spacing w:before="80" w:after="200"/>
        <w:ind w:left="200"/>
      </w:pPr>
      <w:r>
        <w:rPr>
          <w:i/>
          <w:iCs/>
          <w:color w:val="B00020"/>
        </w:rPr>
        <w:t>[PLACEHOLDER — Data governance operating model, data quality scorecards by domain]</w:t>
      </w:r>
    </w:p>
    <w:p w14:paraId="728E0051" w14:textId="77777777" w:rsidR="007355C5" w:rsidRDefault="00AC17C1">
      <w:pPr>
        <w:pStyle w:val="Heading1"/>
      </w:pPr>
      <w:bookmarkStart w:id="51" w:name="_Toc241649713"/>
      <w:r>
        <w:t>15. Talent, Culture, and Change Management</w:t>
      </w:r>
      <w:bookmarkEnd w:id="51"/>
    </w:p>
    <w:p w14:paraId="4CAF1CE2" w14:textId="77777777" w:rsidR="007355C5" w:rsidRDefault="00AC17C1">
      <w:pPr>
        <w:pStyle w:val="ListParagraph"/>
        <w:numPr>
          <w:ilvl w:val="0"/>
          <w:numId w:val="2"/>
        </w:numPr>
        <w:spacing w:after="80"/>
      </w:pPr>
      <w:r>
        <w:t>AI literacy training for all employees; deeper technical upskilling for engineering, risk, and compliance staff, including Microsoft/Azure AI certification paths.</w:t>
      </w:r>
    </w:p>
    <w:p w14:paraId="74F3F4DF" w14:textId="77777777" w:rsidR="007355C5" w:rsidRDefault="00AC17C1">
      <w:pPr>
        <w:pStyle w:val="ListParagraph"/>
        <w:numPr>
          <w:ilvl w:val="0"/>
          <w:numId w:val="2"/>
        </w:numPr>
        <w:spacing w:after="80"/>
      </w:pPr>
      <w:r>
        <w:t>Talent acquisition and retention strategy for AI/ML engineering, data science, and AI risk specialists.</w:t>
      </w:r>
    </w:p>
    <w:p w14:paraId="4E0608FF" w14:textId="77777777" w:rsidR="007355C5" w:rsidRDefault="00AC17C1">
      <w:pPr>
        <w:pStyle w:val="ListParagraph"/>
        <w:numPr>
          <w:ilvl w:val="0"/>
          <w:numId w:val="2"/>
        </w:numPr>
        <w:spacing w:after="80"/>
      </w:pPr>
      <w:r>
        <w:t>Change management approach for roles affected by automation, including redeployment and reskilling commitments.</w:t>
      </w:r>
    </w:p>
    <w:p w14:paraId="5893ED63" w14:textId="77777777" w:rsidR="007355C5" w:rsidRDefault="00AC17C1">
      <w:pPr>
        <w:pStyle w:val="ListParagraph"/>
        <w:numPr>
          <w:ilvl w:val="0"/>
          <w:numId w:val="2"/>
        </w:numPr>
        <w:spacing w:after="80"/>
      </w:pPr>
      <w:r>
        <w:t>Communication strategy to build employee and customer trust in AI-enabled services.</w:t>
      </w:r>
    </w:p>
    <w:p w14:paraId="3E06C522" w14:textId="77777777" w:rsidR="007355C5" w:rsidRDefault="00AC17C1">
      <w:pPr>
        <w:pBdr>
          <w:left w:val="single" w:sz="12" w:space="8" w:color="B00020"/>
        </w:pBdr>
        <w:spacing w:before="80" w:after="200"/>
        <w:ind w:left="200"/>
      </w:pPr>
      <w:r>
        <w:rPr>
          <w:i/>
          <w:iCs/>
          <w:color w:val="B00020"/>
        </w:rPr>
        <w:t>[PLACEHOLDER — Training curriculum by role, workforce impact assessment]</w:t>
      </w:r>
    </w:p>
    <w:p w14:paraId="24C57ED9" w14:textId="77777777" w:rsidR="007355C5" w:rsidRDefault="00AC17C1">
      <w:pPr>
        <w:pStyle w:val="Heading1"/>
      </w:pPr>
      <w:bookmarkStart w:id="52" w:name="_Toc241649714"/>
      <w:r>
        <w:t>16. Monitoring, Metrics, and Continuous Improvement</w:t>
      </w:r>
      <w:bookmarkEnd w:id="52"/>
    </w:p>
    <w:p w14:paraId="47A007F9" w14:textId="77777777" w:rsidR="007355C5" w:rsidRDefault="00AC17C1">
      <w:pPr>
        <w:pStyle w:val="ListParagraph"/>
        <w:numPr>
          <w:ilvl w:val="0"/>
          <w:numId w:val="2"/>
        </w:numPr>
        <w:spacing w:after="80"/>
      </w:pPr>
      <w:r>
        <w:t>Production monitoring for model performance, data drift, concept drift, and fairness metrics over time, using Azure Monitor, Application Insights, and Azure AI Foundry evaluation tooling.</w:t>
      </w:r>
    </w:p>
    <w:p w14:paraId="615EBDB0" w14:textId="77777777" w:rsidR="007355C5" w:rsidRDefault="00AC17C1">
      <w:pPr>
        <w:pStyle w:val="ListParagraph"/>
        <w:numPr>
          <w:ilvl w:val="0"/>
          <w:numId w:val="2"/>
        </w:numPr>
        <w:spacing w:after="80"/>
      </w:pPr>
      <w:r>
        <w:t>Business KPIs per use case (e.g., fraud loss reduction, cost-to-serve, cycle time, NPS/CSAT, approval rate parity).</w:t>
      </w:r>
    </w:p>
    <w:p w14:paraId="0A9FE7CD" w14:textId="77777777" w:rsidR="007355C5" w:rsidRDefault="00AC17C1">
      <w:pPr>
        <w:pStyle w:val="ListParagraph"/>
        <w:numPr>
          <w:ilvl w:val="0"/>
          <w:numId w:val="2"/>
        </w:numPr>
        <w:spacing w:after="80"/>
      </w:pPr>
      <w:r>
        <w:t>Program-level metrics: number of use cases in production, time-to-production, model incident rate, and realized ROI.</w:t>
      </w:r>
    </w:p>
    <w:p w14:paraId="338C554D" w14:textId="77777777" w:rsidR="007355C5" w:rsidRDefault="00AC17C1">
      <w:pPr>
        <w:pStyle w:val="ListParagraph"/>
        <w:numPr>
          <w:ilvl w:val="0"/>
          <w:numId w:val="2"/>
        </w:numPr>
        <w:spacing w:after="80"/>
      </w:pPr>
      <w:r>
        <w:t>AI maturity model to benchmark the bank's progress (ad hoc → managed → defined → optimized → industrialized) and guide investment.</w:t>
      </w:r>
    </w:p>
    <w:p w14:paraId="29B13CCC" w14:textId="77777777" w:rsidR="007355C5" w:rsidRDefault="00AC17C1">
      <w:pPr>
        <w:pBdr>
          <w:left w:val="single" w:sz="12" w:space="8" w:color="B00020"/>
        </w:pBdr>
        <w:spacing w:before="80" w:after="200"/>
        <w:ind w:left="200"/>
      </w:pPr>
      <w:r>
        <w:rPr>
          <w:i/>
          <w:iCs/>
          <w:color w:val="B00020"/>
        </w:rPr>
        <w:t>[PLACEHOLDER — KPI dashboard definitions, target thresholds, and maturity model self-assessment]</w:t>
      </w:r>
    </w:p>
    <w:p w14:paraId="0F761F13" w14:textId="77777777" w:rsidR="007355C5" w:rsidRDefault="00AC17C1">
      <w:r>
        <w:br w:type="page"/>
      </w:r>
    </w:p>
    <w:p w14:paraId="4192E1E3" w14:textId="77777777" w:rsidR="007355C5" w:rsidRDefault="00AC17C1">
      <w:pPr>
        <w:pStyle w:val="Heading1"/>
      </w:pPr>
      <w:bookmarkStart w:id="53" w:name="_Toc241649715"/>
      <w:r>
        <w:lastRenderedPageBreak/>
        <w:t>17. Department Deep-Dives</w:t>
      </w:r>
      <w:bookmarkEnd w:id="53"/>
    </w:p>
    <w:p w14:paraId="3AF08DF8" w14:textId="77777777" w:rsidR="007355C5" w:rsidRDefault="00AC17C1">
      <w:pPr>
        <w:spacing w:after="160"/>
      </w:pPr>
      <w:r>
        <w:t>Section 4 introduced the five banking departments with the greatest AI benefit at a summary level. This section provides a full deep dive on each, following a consistent template so the sections stay comparable and can be extended independently as the playbook matures: (1) the problem, (2) how Microsoft Azure and Azure AI can help, (3) the specific Azure/Microsoft products involved, (4) the solution pattern, (5) business benefits, (6) data and integration requirements, (7) risk, governance, and human oversi</w:t>
      </w:r>
      <w:r>
        <w:t>ght considerations, (8) success metrics, and (9) a sample business case outline. The five deep dives below cover Fraud, Financial Crime &amp; AML (17.1); Customer Service &amp; Engagement (17.2); Credit Risk &amp; Underwriting (17.3); Compliance &amp; Regulatory Reporting (17.4); and Operations &amp; Back-Office Processing (17.5). Additional departments (Section 4) can be added as further subsections (17.6+) using the same template as they are prioritized.</w:t>
      </w:r>
    </w:p>
    <w:p w14:paraId="39832807" w14:textId="77777777" w:rsidR="007355C5" w:rsidRDefault="00AC17C1">
      <w:pPr>
        <w:pStyle w:val="Heading2"/>
      </w:pPr>
      <w:bookmarkStart w:id="54" w:name="_Toc241649716"/>
      <w:r>
        <w:t>17.1 Deep Dive: Fraud, Financial Crime &amp; AML</w:t>
      </w:r>
      <w:bookmarkEnd w:id="54"/>
    </w:p>
    <w:p w14:paraId="77A37293" w14:textId="77777777" w:rsidR="007355C5" w:rsidRDefault="00AC17C1">
      <w:pPr>
        <w:pStyle w:val="Heading3"/>
      </w:pPr>
      <w:bookmarkStart w:id="55" w:name="_Toc241649717"/>
      <w:r>
        <w:t>17.1.1 The Problem</w:t>
      </w:r>
      <w:bookmarkEnd w:id="55"/>
    </w:p>
    <w:p w14:paraId="546F7008" w14:textId="77777777" w:rsidR="007355C5" w:rsidRDefault="00AC17C1">
      <w:pPr>
        <w:spacing w:after="160"/>
      </w:pPr>
      <w:r>
        <w:t>Banks face a widening set of fraud and financial crime typologies — card and payment fraud, account takeover, first-party and synthetic identity fraud, mule networks, and money laundering through layered transactions — arriving at a scale and speed that legacy, rules-based systems struggle to match:</w:t>
      </w:r>
    </w:p>
    <w:p w14:paraId="5229BBD8" w14:textId="77777777" w:rsidR="007355C5" w:rsidRDefault="00AC17C1">
      <w:pPr>
        <w:pStyle w:val="ListParagraph"/>
        <w:numPr>
          <w:ilvl w:val="0"/>
          <w:numId w:val="2"/>
        </w:numPr>
        <w:spacing w:after="80"/>
      </w:pPr>
      <w:r>
        <w:rPr>
          <w:b/>
          <w:bCs/>
        </w:rPr>
        <w:t xml:space="preserve">Volume and velocity: </w:t>
      </w:r>
      <w:r>
        <w:t>Real-time payment rails (Interac e-Transfer, RTP, FedNow) settle in seconds, leaving little or no window for manual review before funds move.</w:t>
      </w:r>
    </w:p>
    <w:p w14:paraId="26183E9D" w14:textId="77777777" w:rsidR="007355C5" w:rsidRDefault="00AC17C1">
      <w:pPr>
        <w:pStyle w:val="ListParagraph"/>
        <w:numPr>
          <w:ilvl w:val="0"/>
          <w:numId w:val="2"/>
        </w:numPr>
        <w:spacing w:after="80"/>
      </w:pPr>
      <w:r>
        <w:rPr>
          <w:b/>
          <w:bCs/>
        </w:rPr>
        <w:t xml:space="preserve">Alert fatigue: </w:t>
      </w:r>
      <w:r>
        <w:t>Static rules engines commonly generate false-positive rates in the 90%+ range industry-wide, burying genuine fraud and laundering signals under low-value alerts and driving costly investigation backlogs.</w:t>
      </w:r>
    </w:p>
    <w:p w14:paraId="0B26CB27" w14:textId="77777777" w:rsidR="007355C5" w:rsidRDefault="00AC17C1">
      <w:pPr>
        <w:pStyle w:val="ListParagraph"/>
        <w:numPr>
          <w:ilvl w:val="0"/>
          <w:numId w:val="2"/>
        </w:numPr>
        <w:spacing w:after="80"/>
      </w:pPr>
      <w:r>
        <w:rPr>
          <w:b/>
          <w:bCs/>
        </w:rPr>
        <w:t xml:space="preserve">Fragmented data: </w:t>
      </w:r>
      <w:r>
        <w:t>Transaction, KYC, device, and case-history data are often siloed across products and legacy cores, making it hard to see the full picture of a customer or a connected network.</w:t>
      </w:r>
    </w:p>
    <w:p w14:paraId="6A4C60E5" w14:textId="77777777" w:rsidR="007355C5" w:rsidRDefault="00AC17C1">
      <w:pPr>
        <w:pStyle w:val="ListParagraph"/>
        <w:numPr>
          <w:ilvl w:val="0"/>
          <w:numId w:val="2"/>
        </w:numPr>
        <w:spacing w:after="80"/>
      </w:pPr>
      <w:r>
        <w:rPr>
          <w:b/>
          <w:bCs/>
        </w:rPr>
        <w:t xml:space="preserve">Adversarial adaptation: </w:t>
      </w:r>
      <w:r>
        <w:t>Fraud rings and money-laundering networks actively probe and evolve around static rules faster than manual rule-tuning cycles can keep up.</w:t>
      </w:r>
    </w:p>
    <w:p w14:paraId="0F2E2735" w14:textId="77777777" w:rsidR="007355C5" w:rsidRDefault="00AC17C1">
      <w:pPr>
        <w:pStyle w:val="ListParagraph"/>
        <w:numPr>
          <w:ilvl w:val="0"/>
          <w:numId w:val="2"/>
        </w:numPr>
        <w:spacing w:after="80"/>
      </w:pPr>
      <w:r>
        <w:rPr>
          <w:b/>
          <w:bCs/>
        </w:rPr>
        <w:t xml:space="preserve">Talent and cost pressure: </w:t>
      </w:r>
      <w:r>
        <w:t>Skilled fraud and AML investigators are scarce and expensive, and manual case review does not scale linearly with transaction growth.</w:t>
      </w:r>
    </w:p>
    <w:p w14:paraId="78A2D2F3" w14:textId="77777777" w:rsidR="007355C5" w:rsidRDefault="00AC17C1">
      <w:pPr>
        <w:pStyle w:val="ListParagraph"/>
        <w:numPr>
          <w:ilvl w:val="0"/>
          <w:numId w:val="2"/>
        </w:numPr>
        <w:spacing w:after="80"/>
      </w:pPr>
      <w:r>
        <w:rPr>
          <w:b/>
          <w:bCs/>
        </w:rPr>
        <w:t xml:space="preserve">Regulatory exposure: </w:t>
      </w:r>
      <w:r>
        <w:t>AML program deficiencies carry some of the largest supervisory fines and reputational consequences in banking, and expectations for effective, explainable monitoring continue to rise (see Section 10).</w:t>
      </w:r>
    </w:p>
    <w:p w14:paraId="1983A50C" w14:textId="77777777" w:rsidR="007355C5" w:rsidRDefault="00AC17C1">
      <w:pPr>
        <w:pStyle w:val="Heading3"/>
      </w:pPr>
      <w:bookmarkStart w:id="56" w:name="_Toc241649718"/>
      <w:r>
        <w:t>17.1.2 How Microsoft Azure and Azure AI Can Help</w:t>
      </w:r>
      <w:bookmarkEnd w:id="56"/>
    </w:p>
    <w:p w14:paraId="6A5F7F12" w14:textId="77777777" w:rsidR="007355C5" w:rsidRDefault="00AC17C1">
      <w:pPr>
        <w:spacing w:after="160"/>
      </w:pPr>
      <w:r>
        <w:t>Azure lets a bank move from static, rules-only detection to a layered defense that combines real-time streaming, machine learning, graph/network analysis, and generative AI — while keeping the human investigator firmly in control of high-stakes decisions:</w:t>
      </w:r>
    </w:p>
    <w:p w14:paraId="6C9ABAD7" w14:textId="77777777" w:rsidR="007355C5" w:rsidRDefault="00AC17C1">
      <w:pPr>
        <w:pStyle w:val="ListParagraph"/>
        <w:numPr>
          <w:ilvl w:val="0"/>
          <w:numId w:val="2"/>
        </w:numPr>
        <w:spacing w:after="80"/>
      </w:pPr>
      <w:r>
        <w:rPr>
          <w:b/>
          <w:bCs/>
        </w:rPr>
        <w:t xml:space="preserve">Real-time scoring at scale: </w:t>
      </w:r>
      <w:r>
        <w:t>Stream every transaction and event through cloud-scale ingestion so fraud and AML models score activity in milliseconds, not batch cycles.</w:t>
      </w:r>
    </w:p>
    <w:p w14:paraId="06FEBA21" w14:textId="77777777" w:rsidR="007355C5" w:rsidRDefault="00AC17C1">
      <w:pPr>
        <w:pStyle w:val="ListParagraph"/>
        <w:numPr>
          <w:ilvl w:val="0"/>
          <w:numId w:val="2"/>
        </w:numPr>
        <w:spacing w:after="80"/>
      </w:pPr>
      <w:r>
        <w:rPr>
          <w:b/>
          <w:bCs/>
        </w:rPr>
        <w:t xml:space="preserve">Models tuned to the bank's own risk: </w:t>
      </w:r>
      <w:r>
        <w:t xml:space="preserve">Build fraud-risk scoring models on Azure Machine Learning / Azure AI Foundry, trained and continuously retrained on the bank's own transaction, customer, and case-outcome data, optionally supplemented by a </w:t>
      </w:r>
      <w:r>
        <w:lastRenderedPageBreak/>
        <w:t>specialist third-party fraud-scoring platform (e.g., LexisNexis ThreatMetrix, Arkose Labs, ACI Fraud Solutions) integrated via Azure for device/behavioral signals Microsoft does not natively provide.</w:t>
      </w:r>
    </w:p>
    <w:p w14:paraId="75372661" w14:textId="77777777" w:rsidR="007355C5" w:rsidRDefault="00AC17C1">
      <w:pPr>
        <w:pStyle w:val="ListParagraph"/>
        <w:numPr>
          <w:ilvl w:val="0"/>
          <w:numId w:val="2"/>
        </w:numPr>
        <w:spacing w:after="80"/>
      </w:pPr>
      <w:r>
        <w:rPr>
          <w:b/>
          <w:bCs/>
        </w:rPr>
        <w:t xml:space="preserve">Seeing the network, not just the transaction: </w:t>
      </w:r>
      <w:r>
        <w:t>Graph-based analysis surfaces connected parties, shared devices, and mule-network patterns that transaction-level rules miss entirely.</w:t>
      </w:r>
    </w:p>
    <w:p w14:paraId="5FC83F63" w14:textId="77777777" w:rsidR="007355C5" w:rsidRDefault="00AC17C1">
      <w:pPr>
        <w:pStyle w:val="ListParagraph"/>
        <w:numPr>
          <w:ilvl w:val="0"/>
          <w:numId w:val="2"/>
        </w:numPr>
        <w:spacing w:after="80"/>
      </w:pPr>
      <w:r>
        <w:rPr>
          <w:b/>
          <w:bCs/>
        </w:rPr>
        <w:t xml:space="preserve">Faster, better-documented investigations: </w:t>
      </w:r>
      <w:r>
        <w:t>Generative AI summarizes alerts, prior case history, and relevant relationships for an investigator in seconds, and drafts narrative language for human review — rather than replacing the investigator's judgment.</w:t>
      </w:r>
    </w:p>
    <w:p w14:paraId="2034A563" w14:textId="77777777" w:rsidR="007355C5" w:rsidRDefault="00AC17C1">
      <w:pPr>
        <w:pStyle w:val="ListParagraph"/>
        <w:numPr>
          <w:ilvl w:val="0"/>
          <w:numId w:val="2"/>
        </w:numPr>
        <w:spacing w:after="80"/>
      </w:pPr>
      <w:r>
        <w:rPr>
          <w:b/>
          <w:bCs/>
        </w:rPr>
        <w:t xml:space="preserve">Governed and auditable by design: </w:t>
      </w:r>
      <w:r>
        <w:t>Every model is registered, monitored, and validated under the same AI Governance Council, Model Inventory, and Risk-Tiering Rubric (Sections 7.4–7.6) that governs the rest of the AI program, satisfying OSFI E-23 and U.S. model risk management expectations (Section 10).</w:t>
      </w:r>
    </w:p>
    <w:p w14:paraId="1EB99A70" w14:textId="77777777" w:rsidR="007355C5" w:rsidRDefault="00AC17C1">
      <w:pPr>
        <w:pStyle w:val="Heading3"/>
      </w:pPr>
      <w:bookmarkStart w:id="57" w:name="_Toc241649719"/>
      <w:r>
        <w:t>17.1.3 Specific Azure and Microsoft Products</w:t>
      </w:r>
      <w:bookmarkEnd w:id="57"/>
    </w:p>
    <w:p w14:paraId="51667B80" w14:textId="77777777" w:rsidR="007355C5" w:rsidRDefault="00AC17C1">
      <w:pPr>
        <w:spacing w:after="160"/>
      </w:pPr>
      <w:r>
        <w:t>The following Azure and Microsoft products map to the capabilities most relevant to fraud and AML: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060"/>
        <w:gridCol w:w="3900"/>
      </w:tblGrid>
      <w:tr w:rsidR="007355C5" w14:paraId="315CE4AB"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39CBBE8" w14:textId="77777777" w:rsidR="007355C5" w:rsidRDefault="00AC17C1">
            <w:r>
              <w:rPr>
                <w:b/>
                <w:bCs/>
                <w:color w:val="FFFFFF"/>
              </w:rPr>
              <w:t>Capability</w:t>
            </w:r>
          </w:p>
        </w:tc>
        <w:tc>
          <w:tcPr>
            <w:tcW w:w="30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EE1AE64" w14:textId="77777777" w:rsidR="007355C5" w:rsidRDefault="00AC17C1">
            <w:r>
              <w:rPr>
                <w:b/>
                <w:bCs/>
                <w:color w:val="FFFFFF"/>
              </w:rPr>
              <w:t>Azure / Microsoft Product</w:t>
            </w:r>
          </w:p>
        </w:tc>
        <w:tc>
          <w:tcPr>
            <w:tcW w:w="39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2EBF684" w14:textId="77777777" w:rsidR="007355C5" w:rsidRDefault="00AC17C1">
            <w:r>
              <w:rPr>
                <w:b/>
                <w:bCs/>
                <w:color w:val="FFFFFF"/>
              </w:rPr>
              <w:t>Role</w:t>
            </w:r>
          </w:p>
        </w:tc>
      </w:tr>
      <w:tr w:rsidR="007355C5" w14:paraId="1E0C414A"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BD4F3C" w14:textId="77777777" w:rsidR="007355C5" w:rsidRDefault="00AC17C1">
            <w:r>
              <w:t>Real-time transaction ingestion &amp; streaming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959CD9" w14:textId="77777777" w:rsidR="007355C5" w:rsidRDefault="00AC17C1">
            <w:r>
              <w:t>Azure Event Hubs; Microsoft Fabric Real-Time Intelligence</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AEE176" w14:textId="77777777" w:rsidR="007355C5" w:rsidRDefault="00AC17C1">
            <w:r>
              <w:t>Ingest and correlate millions of transaction and event signals per second from payment rails, cards, and the core banking platform for real-time scoring.</w:t>
            </w:r>
          </w:p>
        </w:tc>
      </w:tr>
      <w:tr w:rsidR="007355C5" w14:paraId="1A7367B3"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316A0E" w14:textId="77777777" w:rsidR="007355C5" w:rsidRDefault="00AC17C1">
            <w:r>
              <w:t>Custom, adaptive fraud risk scoring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BE8171" w14:textId="77777777" w:rsidR="007355C5" w:rsidRDefault="00AC17C1">
            <w:r>
              <w:t>Azure Machine Learning / Azure AI Foundry (custom-built); specialist third-party platforms integrated via Azure</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078842C" w14:textId="77777777" w:rsidR="007355C5" w:rsidRDefault="00AC17C1">
            <w:r>
              <w:t>Custom-built, continuously retrained risk-scoring models for payment, account, and card fraud, integrated with core banking and payment systems. Microsoft retired its packaged Dynamics 365 Fraud Protection offering (no longer purchasable since February 2025; support ended February 2026), so banks should build on Azure Machine Learning / Azure AI Foundry and, where a packaged product is preferred, evaluate specialist third-party fraud platforms available through the Azure/partner ecosystem.</w:t>
            </w:r>
          </w:p>
        </w:tc>
      </w:tr>
      <w:tr w:rsidR="007355C5" w14:paraId="38175D2F"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5DFE17" w14:textId="77777777" w:rsidR="007355C5" w:rsidRDefault="00AC17C1">
            <w:r>
              <w:t>Custom fraud &amp; AML models</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E99DCF" w14:textId="77777777" w:rsidR="007355C5" w:rsidRDefault="00AC17C1">
            <w:r>
              <w:t>Azure Machine Learning; Azure AI Foundry</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57E5CB" w14:textId="77777777" w:rsidR="007355C5" w:rsidRDefault="00AC17C1">
            <w:r>
              <w:t>Build, train, and deploy custom anomaly-detection and classification models tuned to the bank's own typologies, with built-in tracking, versioning, and responsible AI evaluation.</w:t>
            </w:r>
          </w:p>
        </w:tc>
      </w:tr>
      <w:tr w:rsidR="007355C5" w14:paraId="42FB06D0"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35EB601" w14:textId="77777777" w:rsidR="007355C5" w:rsidRDefault="00AC17C1">
            <w:r>
              <w:lastRenderedPageBreak/>
              <w:t>Network / mule-network analysis</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792DB7" w14:textId="77777777" w:rsidR="007355C5" w:rsidRDefault="00AC17C1">
            <w:r>
              <w:t>Azure Cosmos DB (graph API); Azure Machine Learning</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DB87F2" w14:textId="77777777" w:rsidR="007355C5" w:rsidRDefault="00AC17C1">
            <w:r>
              <w:t>Model customers, accounts, and transactions as a graph to detect connected-party fraud rings and laundering networks that transaction-level rules cannot see.</w:t>
            </w:r>
          </w:p>
        </w:tc>
      </w:tr>
      <w:tr w:rsidR="007355C5" w14:paraId="32C9211C"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41205F" w14:textId="77777777" w:rsidR="007355C5" w:rsidRDefault="00AC17C1">
            <w:r>
              <w:t>KYC / CDD document processing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83A8F0" w14:textId="77777777" w:rsidR="007355C5" w:rsidRDefault="00AC17C1">
            <w:r>
              <w:t>Azure AI Document Intelligence</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F4E385" w14:textId="77777777" w:rsidR="007355C5" w:rsidRDefault="00AC17C1">
            <w:r>
              <w:t>Automate extraction and verification of identity and onboarding documents to speed and strengthen Know Your Customer and Customer Due Diligence workflows.</w:t>
            </w:r>
          </w:p>
        </w:tc>
      </w:tr>
      <w:tr w:rsidR="007355C5" w14:paraId="66189B76"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080710" w14:textId="77777777" w:rsidR="007355C5" w:rsidRDefault="00AC17C1">
            <w:r>
              <w:t>Sanctions &amp; watchlist screening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03CD1F" w14:textId="77777777" w:rsidR="007355C5" w:rsidRDefault="00AC17C1">
            <w:r>
              <w:t>Azure AI Search; Azure AI Language (supporting components only)</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E11612" w14:textId="77777777" w:rsidR="007355C5" w:rsidRDefault="00AC17C1">
            <w:r>
              <w:t>Improve fuzzy name-matching and entity resolution as inputs into a validated sanctions/PEP screening engine or specialist screening provider (e.g., an OFAC/UN/OSFI-consolidated-list screening platform); Azure AI Search and Azure AI Language are not themselves a complete screening control and every match/near-match must still receive a documented human disposition.</w:t>
            </w:r>
          </w:p>
        </w:tc>
      </w:tr>
      <w:tr w:rsidR="007355C5" w14:paraId="55EA1F05"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910DF6C" w14:textId="77777777" w:rsidR="007355C5" w:rsidRDefault="00AC17C1">
            <w:r>
              <w:t>Investigator copilot &amp; alert summarization</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581F1A" w14:textId="77777777" w:rsidR="007355C5" w:rsidRDefault="00AC17C1">
            <w:r>
              <w:t>Azure OpenAI Service; Azure AI Foundry Agent Service</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AE25BB" w14:textId="77777777" w:rsidR="007355C5" w:rsidRDefault="00AC17C1">
            <w:r>
              <w:t>Summarize alerts and case history and draft SAR/STR narrative language for human review and approval, grounded in the bank's governed case data.</w:t>
            </w:r>
          </w:p>
        </w:tc>
      </w:tr>
      <w:tr w:rsidR="007355C5" w14:paraId="65B14D55"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B4E37A" w14:textId="77777777" w:rsidR="007355C5" w:rsidRDefault="00AC17C1">
            <w:r>
              <w:t>Case management &amp; workflow orchestration</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3877EEF" w14:textId="77777777" w:rsidR="007355C5" w:rsidRDefault="00AC17C1">
            <w:r>
              <w:t>Microsoft Dynamics 365; Power Platform</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1D78D4" w14:textId="77777777" w:rsidR="007355C5" w:rsidRDefault="00AC17C1">
            <w:r>
              <w:t>Route alerts, track investigator decisions, and orchestrate escalation workflow across fraud and AML teams.</w:t>
            </w:r>
          </w:p>
        </w:tc>
      </w:tr>
      <w:tr w:rsidR="007355C5" w14:paraId="08709731"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F09A6E" w14:textId="77777777" w:rsidR="007355C5" w:rsidRDefault="00AC17C1">
            <w:r>
              <w:t>Model monitoring &amp; governance</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616505" w14:textId="77777777" w:rsidR="007355C5" w:rsidRDefault="00AC17C1">
            <w:r>
              <w:t>Azure AI Foundry Responsible AI dashboard; Azure Monitor</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6D62B6" w14:textId="77777777" w:rsidR="007355C5" w:rsidRDefault="00AC17C1">
            <w:r>
              <w:t>Track model performance, drift, and fairness over time, feeding status into the AI/Model Inventory (Section 7.5).</w:t>
            </w:r>
          </w:p>
        </w:tc>
      </w:tr>
      <w:tr w:rsidR="007355C5" w14:paraId="0CC75782"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64F9AE" w14:textId="77777777" w:rsidR="007355C5" w:rsidRDefault="00AC17C1">
            <w:r>
              <w:t>Identity, access &amp; data governance</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CB81F8" w14:textId="77777777" w:rsidR="007355C5" w:rsidRDefault="00AC17C1">
            <w:r>
              <w:t>Microsoft Entra ID; Microsoft Purview</w:t>
            </w:r>
          </w:p>
        </w:tc>
        <w:tc>
          <w:tcPr>
            <w:tcW w:w="3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45E74D" w14:textId="77777777" w:rsidR="007355C5" w:rsidRDefault="00AC17C1">
            <w:r>
              <w:t>Enforce least-privilege access to sensitive financial-crime data and maintain classification, lineage, and audit trails.</w:t>
            </w:r>
          </w:p>
        </w:tc>
      </w:tr>
    </w:tbl>
    <w:p w14:paraId="5674C43B" w14:textId="77777777" w:rsidR="007355C5" w:rsidRDefault="007355C5">
      <w:pPr>
        <w:spacing w:after="160"/>
      </w:pPr>
    </w:p>
    <w:p w14:paraId="5898F981" w14:textId="77777777" w:rsidR="007355C5" w:rsidRDefault="00AC17C1">
      <w:pPr>
        <w:pStyle w:val="Heading3"/>
      </w:pPr>
      <w:bookmarkStart w:id="58" w:name="_Toc241649720"/>
      <w:r>
        <w:t>17.1.4 Illustrative Solution Pattern</w:t>
      </w:r>
      <w:bookmarkEnd w:id="58"/>
    </w:p>
    <w:p w14:paraId="7FA89D2E" w14:textId="77777777" w:rsidR="007355C5" w:rsidRDefault="00AC17C1">
      <w:pPr>
        <w:spacing w:after="160"/>
      </w:pPr>
      <w:r>
        <w:t>A representative end-to-end flow on Azure:</w:t>
      </w:r>
    </w:p>
    <w:p w14:paraId="02A2ED51" w14:textId="77777777" w:rsidR="007355C5" w:rsidRDefault="00AC17C1">
      <w:pPr>
        <w:pStyle w:val="ListParagraph"/>
        <w:numPr>
          <w:ilvl w:val="0"/>
          <w:numId w:val="3"/>
        </w:numPr>
        <w:spacing w:after="80"/>
      </w:pPr>
      <w:r>
        <w:t>Transactions and events stream from core banking, card networks, and payment rails into Azure Event Hubs and Microsoft Fabric in real time.</w:t>
      </w:r>
    </w:p>
    <w:p w14:paraId="3F76FCCA" w14:textId="77777777" w:rsidR="007355C5" w:rsidRDefault="00AC17C1">
      <w:pPr>
        <w:pStyle w:val="ListParagraph"/>
        <w:numPr>
          <w:ilvl w:val="0"/>
          <w:numId w:val="3"/>
        </w:numPr>
        <w:spacing w:after="80"/>
      </w:pPr>
      <w:r>
        <w:lastRenderedPageBreak/>
        <w:t>Events are enriched with customer, device, and geolocation context via a shared feature store in Azure Machine Learning / Microsoft Fabric.</w:t>
      </w:r>
    </w:p>
    <w:p w14:paraId="52CCAC59" w14:textId="77777777" w:rsidR="007355C5" w:rsidRDefault="00AC17C1">
      <w:pPr>
        <w:pStyle w:val="ListParagraph"/>
        <w:numPr>
          <w:ilvl w:val="0"/>
          <w:numId w:val="3"/>
        </w:numPr>
        <w:spacing w:after="80"/>
      </w:pPr>
      <w:r>
        <w:t>Parallel scoring runs: custom Azure Machine Learning / Azure AI Foundry models for known and bank-specific fraud typologies (optionally supplemented by a specialist third-party fraud-scoring platform), and graph analysis in Azure Cosmos DB for network risk.</w:t>
      </w:r>
    </w:p>
    <w:p w14:paraId="10FCB072" w14:textId="77777777" w:rsidR="007355C5" w:rsidRDefault="00AC17C1">
      <w:pPr>
        <w:pStyle w:val="ListParagraph"/>
        <w:numPr>
          <w:ilvl w:val="0"/>
          <w:numId w:val="3"/>
        </w:numPr>
        <w:spacing w:after="80"/>
      </w:pPr>
      <w:r>
        <w:t>A combined risk score drives a tiered response: for high-confidence fraud, an automatic, temporary, and reversible hold on the transaction or session (with immediate customer notification and a fast-track human review/override path) pending analyst confirmation; step-up authentication via Microsoft Entra ID for moderate risk; or routing to an analyst queue for review. Any final, irreversible account action (e.g., closure, permanent block, SAR filing) always requires a human decision-maker.</w:t>
      </w:r>
    </w:p>
    <w:p w14:paraId="4909BE49" w14:textId="77777777" w:rsidR="007355C5" w:rsidRDefault="00AC17C1">
      <w:pPr>
        <w:pStyle w:val="ListParagraph"/>
        <w:numPr>
          <w:ilvl w:val="0"/>
          <w:numId w:val="3"/>
        </w:numPr>
        <w:spacing w:after="80"/>
      </w:pPr>
      <w:r>
        <w:t>For queued alerts, an investigator copilot built on Azure OpenAI Service and Azure AI Foundry Agent Service summarizes the alert, prior history, and related network, and drafts a recommended disposition (and, where warranted, SAR/STR narrative language) for human review and sign-off.</w:t>
      </w:r>
    </w:p>
    <w:p w14:paraId="15D5CB31" w14:textId="77777777" w:rsidR="007355C5" w:rsidRDefault="00AC17C1">
      <w:pPr>
        <w:pStyle w:val="ListParagraph"/>
        <w:numPr>
          <w:ilvl w:val="0"/>
          <w:numId w:val="3"/>
        </w:numPr>
        <w:spacing w:after="80"/>
      </w:pPr>
      <w:r>
        <w:t>Analyst decisions feed back into model monitoring (Azure Monitor, Azure AI Foundry Responsible AI dashboard) to track drift and support scheduled retraining.</w:t>
      </w:r>
    </w:p>
    <w:p w14:paraId="45E0D404" w14:textId="77777777" w:rsidR="007355C5" w:rsidRDefault="00AC17C1">
      <w:pPr>
        <w:pStyle w:val="ListParagraph"/>
        <w:numPr>
          <w:ilvl w:val="0"/>
          <w:numId w:val="3"/>
        </w:numPr>
        <w:spacing w:after="80"/>
      </w:pPr>
      <w:r>
        <w:t>All models, data lineage, and validation status are recorded in the AI/Model Inventory (Section 7.5) and are available for OSFI E-23 / model risk management review (Section 10).</w:t>
      </w:r>
    </w:p>
    <w:p w14:paraId="5D3286A7" w14:textId="77777777" w:rsidR="007355C5" w:rsidRDefault="00AC17C1">
      <w:pPr>
        <w:pStyle w:val="Heading3"/>
      </w:pPr>
      <w:bookmarkStart w:id="59" w:name="_Toc241649721"/>
      <w:r>
        <w:t>17.1.5 Business Benefits</w:t>
      </w:r>
      <w:bookmarkEnd w:id="5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360"/>
        <w:gridCol w:w="2600"/>
      </w:tblGrid>
      <w:tr w:rsidR="007355C5" w14:paraId="6A391650"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6648F67" w14:textId="77777777" w:rsidR="007355C5" w:rsidRDefault="00AC17C1">
            <w:r>
              <w:rPr>
                <w:b/>
                <w:bCs/>
                <w:color w:val="FFFFFF"/>
              </w:rPr>
              <w:t>Benefit Category</w:t>
            </w:r>
          </w:p>
        </w:tc>
        <w:tc>
          <w:tcPr>
            <w:tcW w:w="43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ADE615A" w14:textId="77777777" w:rsidR="007355C5" w:rsidRDefault="00AC17C1">
            <w:r>
              <w:rPr>
                <w:b/>
                <w:bCs/>
                <w:color w:val="FFFFFF"/>
              </w:rPr>
              <w:t>Description</w:t>
            </w:r>
          </w:p>
        </w:tc>
        <w:tc>
          <w:tcPr>
            <w:tcW w:w="26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04961C9" w14:textId="77777777" w:rsidR="007355C5" w:rsidRDefault="00AC17C1">
            <w:r>
              <w:rPr>
                <w:b/>
                <w:bCs/>
                <w:color w:val="FFFFFF"/>
              </w:rPr>
              <w:t>Illustrative Metric</w:t>
            </w:r>
          </w:p>
        </w:tc>
      </w:tr>
      <w:tr w:rsidR="007355C5" w14:paraId="40B29CF6"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19E10B" w14:textId="77777777" w:rsidR="007355C5" w:rsidRDefault="00AC17C1">
            <w:r>
              <w:t>Reduced fraud losses</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ADB1EA4" w14:textId="77777777" w:rsidR="007355C5" w:rsidRDefault="00AC17C1">
            <w:r>
              <w:t>Faster, more accurate detection stops fraudulent transactions before funds leave the bank.</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3334388" w14:textId="77777777" w:rsidR="007355C5" w:rsidRDefault="00AC17C1">
            <w:r>
              <w:t>Fraud loss rate as a % of transaction volume, vs. institution baseline</w:t>
            </w:r>
          </w:p>
        </w:tc>
      </w:tr>
      <w:tr w:rsidR="007355C5" w14:paraId="4E2D5AE6"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3C5A11" w14:textId="77777777" w:rsidR="007355C5" w:rsidRDefault="00AC17C1">
            <w:r>
              <w:t>Lower false-positive rates</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5809B4" w14:textId="77777777" w:rsidR="007355C5" w:rsidRDefault="00AC17C1">
            <w:r>
              <w:t>Machine learning and graph analysis reduce false positives versus rules-only systems, freeing analyst capacity for genuine risk.</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791BD3" w14:textId="77777777" w:rsidR="007355C5" w:rsidRDefault="00AC17C1">
            <w:r>
              <w:t>% reduction in alerts requiring manual review</w:t>
            </w:r>
          </w:p>
        </w:tc>
      </w:tr>
      <w:tr w:rsidR="007355C5" w14:paraId="6521E38A"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04FD1A" w14:textId="77777777" w:rsidR="007355C5" w:rsidRDefault="00AC17C1">
            <w:r>
              <w:t>Faster investigations</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6E963B" w14:textId="77777777" w:rsidR="007355C5" w:rsidRDefault="00AC17C1">
            <w:r>
              <w:t>Generative AI summarization and copilot workflows cut alert review and SAR/STR drafting time.</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86095C" w14:textId="77777777" w:rsidR="007355C5" w:rsidRDefault="00AC17C1">
            <w:r>
              <w:t>Average handle time per case</w:t>
            </w:r>
          </w:p>
        </w:tc>
      </w:tr>
      <w:tr w:rsidR="007355C5" w14:paraId="25C0E227"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230C28" w14:textId="77777777" w:rsidR="007355C5" w:rsidRDefault="00AC17C1">
            <w:r>
              <w:t>Improved AML effectiveness</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96515E" w14:textId="77777777" w:rsidR="007355C5" w:rsidRDefault="00AC17C1">
            <w:r>
              <w:t>Better entity resolution and network analysis surface previously hidden mule and laundering networks.</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BC6023" w14:textId="77777777" w:rsidR="007355C5" w:rsidRDefault="00AC17C1">
            <w:r>
              <w:t>Confirmed SARs/STRs per analyst-hour</w:t>
            </w:r>
          </w:p>
        </w:tc>
      </w:tr>
      <w:tr w:rsidR="007355C5" w14:paraId="01CA910B"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3B0B7EC" w14:textId="77777777" w:rsidR="007355C5" w:rsidRDefault="00AC17C1">
            <w:r>
              <w:t>Stronger regulatory posture</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8CDD0E" w14:textId="77777777" w:rsidR="007355C5" w:rsidRDefault="00AC17C1">
            <w:r>
              <w:t>Full audit trail, explainability, and model governance aligned to OSFI E-23 and U.S. model risk management expectations (Section 10).</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0959E7" w14:textId="77777777" w:rsidR="007355C5" w:rsidRDefault="00AC17C1">
            <w:r>
              <w:t>Exam findings and remediation items</w:t>
            </w:r>
          </w:p>
        </w:tc>
      </w:tr>
      <w:tr w:rsidR="007355C5" w14:paraId="37693099" w14:textId="77777777">
        <w:tc>
          <w:tcPr>
            <w:tcW w:w="2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2B0739" w14:textId="77777777" w:rsidR="007355C5" w:rsidRDefault="00AC17C1">
            <w:r>
              <w:t>Better customer experience</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C0EDFE" w14:textId="77777777" w:rsidR="007355C5" w:rsidRDefault="00AC17C1">
            <w:r>
              <w:t>Fewer false declines and less friction for legitimate customers.</w:t>
            </w:r>
          </w:p>
        </w:tc>
        <w:tc>
          <w:tcPr>
            <w:tcW w:w="2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876FA32" w14:textId="77777777" w:rsidR="007355C5" w:rsidRDefault="00AC17C1">
            <w:r>
              <w:t>False decline rate; related complaint volume</w:t>
            </w:r>
          </w:p>
        </w:tc>
      </w:tr>
    </w:tbl>
    <w:p w14:paraId="597A2EA7" w14:textId="77777777" w:rsidR="007355C5" w:rsidRDefault="007355C5">
      <w:pPr>
        <w:spacing w:after="160"/>
      </w:pPr>
    </w:p>
    <w:p w14:paraId="3F5CAB0A" w14:textId="77777777" w:rsidR="007355C5" w:rsidRDefault="00AC17C1">
      <w:pPr>
        <w:pStyle w:val="Heading3"/>
      </w:pPr>
      <w:bookmarkStart w:id="60" w:name="_Toc241649722"/>
      <w:r>
        <w:lastRenderedPageBreak/>
        <w:t>17.1.6 Data and Integration Requirements</w:t>
      </w:r>
      <w:bookmarkEnd w:id="60"/>
    </w:p>
    <w:p w14:paraId="611A6776" w14:textId="77777777" w:rsidR="007355C5" w:rsidRDefault="00AC17C1">
      <w:pPr>
        <w:pStyle w:val="ListParagraph"/>
        <w:numPr>
          <w:ilvl w:val="0"/>
          <w:numId w:val="2"/>
        </w:numPr>
        <w:spacing w:after="80"/>
      </w:pPr>
      <w:r>
        <w:t>Core banking and payment/card processor transaction feeds, ideally real-time or near-real-time.</w:t>
      </w:r>
    </w:p>
    <w:p w14:paraId="4D0008FC" w14:textId="77777777" w:rsidR="007355C5" w:rsidRDefault="00AC17C1">
      <w:pPr>
        <w:pStyle w:val="ListParagraph"/>
        <w:numPr>
          <w:ilvl w:val="0"/>
          <w:numId w:val="2"/>
        </w:numPr>
        <w:spacing w:after="80"/>
      </w:pPr>
      <w:r>
        <w:t>Customer and KYC/CDD data, including onboarding documents and beneficial-ownership information.</w:t>
      </w:r>
    </w:p>
    <w:p w14:paraId="156593B3" w14:textId="77777777" w:rsidR="007355C5" w:rsidRDefault="00AC17C1">
      <w:pPr>
        <w:pStyle w:val="ListParagraph"/>
        <w:numPr>
          <w:ilvl w:val="0"/>
          <w:numId w:val="2"/>
        </w:numPr>
        <w:spacing w:after="80"/>
      </w:pPr>
      <w:r>
        <w:t>Device, session, and behavioral telemetry from digital and mobile channels.</w:t>
      </w:r>
    </w:p>
    <w:p w14:paraId="74DFFFEF" w14:textId="77777777" w:rsidR="007355C5" w:rsidRDefault="00AC17C1">
      <w:pPr>
        <w:pStyle w:val="ListParagraph"/>
        <w:numPr>
          <w:ilvl w:val="0"/>
          <w:numId w:val="2"/>
        </w:numPr>
        <w:spacing w:after="80"/>
      </w:pPr>
      <w:r>
        <w:t>Sanctions, PEP, and adverse-media watchlists, refreshed on a defined cadence.</w:t>
      </w:r>
    </w:p>
    <w:p w14:paraId="506A5FB8" w14:textId="77777777" w:rsidR="007355C5" w:rsidRDefault="00AC17C1">
      <w:pPr>
        <w:pStyle w:val="ListParagraph"/>
        <w:numPr>
          <w:ilvl w:val="0"/>
          <w:numId w:val="2"/>
        </w:numPr>
        <w:spacing w:after="80"/>
      </w:pPr>
      <w:r>
        <w:t>Historical fraud outcomes and SAR/STR filings for model training and back-testing.</w:t>
      </w:r>
    </w:p>
    <w:p w14:paraId="1BE70544" w14:textId="77777777" w:rsidR="007355C5" w:rsidRDefault="00AC17C1">
      <w:pPr>
        <w:pStyle w:val="ListParagraph"/>
        <w:numPr>
          <w:ilvl w:val="0"/>
          <w:numId w:val="2"/>
        </w:numPr>
        <w:spacing w:after="80"/>
      </w:pPr>
      <w:r>
        <w:t>Data quality, classification, and lineage management via Microsoft Purview.</w:t>
      </w:r>
    </w:p>
    <w:p w14:paraId="08C1B901" w14:textId="77777777" w:rsidR="007355C5" w:rsidRDefault="00AC17C1">
      <w:pPr>
        <w:pStyle w:val="ListParagraph"/>
        <w:numPr>
          <w:ilvl w:val="0"/>
          <w:numId w:val="2"/>
        </w:numPr>
        <w:spacing w:after="80"/>
      </w:pPr>
      <w:r>
        <w:t>Integration with the case management system used by fraud and AML investigators.</w:t>
      </w:r>
    </w:p>
    <w:p w14:paraId="0AE310CA" w14:textId="77777777" w:rsidR="007355C5" w:rsidRDefault="00AC17C1">
      <w:pPr>
        <w:pStyle w:val="Heading3"/>
      </w:pPr>
      <w:bookmarkStart w:id="61" w:name="_Toc241649723"/>
      <w:r>
        <w:t>17.1.7 Risk, Governance and Human Oversight Considerations</w:t>
      </w:r>
      <w:bookmarkEnd w:id="61"/>
    </w:p>
    <w:p w14:paraId="4407DC6A" w14:textId="77777777" w:rsidR="007355C5" w:rsidRDefault="00AC17C1">
      <w:pPr>
        <w:pStyle w:val="ListParagraph"/>
        <w:numPr>
          <w:ilvl w:val="0"/>
          <w:numId w:val="2"/>
        </w:numPr>
        <w:spacing w:after="80"/>
      </w:pPr>
      <w:r>
        <w:rPr>
          <w:b/>
          <w:bCs/>
        </w:rPr>
        <w:t xml:space="preserve">Risk tier: </w:t>
      </w:r>
      <w:r>
        <w:t>Fraud and AML models that can autonomously place a temporary hold on a transaction or account are Tier 1 (Critical) under the Risk-Tiering Rubric (Section 7.6), requiring AI Governance Council approval, full model risk validation, and the quarterly re-validation cadence defined in Section 7.6 for Tier 1 use cases; only a human decision-maker may convert a temporary hold into a final, irreversible action.</w:t>
      </w:r>
    </w:p>
    <w:p w14:paraId="7C9FAFD6" w14:textId="77777777" w:rsidR="007355C5" w:rsidRDefault="00AC17C1">
      <w:pPr>
        <w:pStyle w:val="ListParagraph"/>
        <w:numPr>
          <w:ilvl w:val="0"/>
          <w:numId w:val="2"/>
        </w:numPr>
        <w:spacing w:after="80"/>
      </w:pPr>
      <w:r>
        <w:rPr>
          <w:b/>
          <w:bCs/>
        </w:rPr>
        <w:t xml:space="preserve">Human-in-the-loop required: </w:t>
      </w:r>
      <w:r>
        <w:t>SAR/STR filing decisions and any customer-impacting account action must retain a human decision-maker; generative AI drafts narratives and recommendations but does not file or act autonomously.</w:t>
      </w:r>
    </w:p>
    <w:p w14:paraId="1529A313" w14:textId="77777777" w:rsidR="007355C5" w:rsidRDefault="00AC17C1">
      <w:pPr>
        <w:pStyle w:val="ListParagraph"/>
        <w:numPr>
          <w:ilvl w:val="0"/>
          <w:numId w:val="2"/>
        </w:numPr>
        <w:spacing w:after="80"/>
      </w:pPr>
      <w:r>
        <w:rPr>
          <w:b/>
          <w:bCs/>
        </w:rPr>
        <w:t xml:space="preserve">Fairness testing: </w:t>
      </w:r>
      <w:r>
        <w:t>Models must be evaluated to ensure fraud and AML decisions do not disproportionately affect protected groups, consistent with Section 7.3 (Responsible AI).</w:t>
      </w:r>
    </w:p>
    <w:p w14:paraId="7961CCF7" w14:textId="77777777" w:rsidR="007355C5" w:rsidRDefault="00AC17C1">
      <w:pPr>
        <w:pStyle w:val="ListParagraph"/>
        <w:numPr>
          <w:ilvl w:val="0"/>
          <w:numId w:val="2"/>
        </w:numPr>
        <w:spacing w:after="80"/>
      </w:pPr>
      <w:r>
        <w:rPr>
          <w:b/>
          <w:bCs/>
        </w:rPr>
        <w:t xml:space="preserve">Explainability: </w:t>
      </w:r>
      <w:r>
        <w:t>Any customer-facing decline or step-up authentication should be supportable with a clear, reviewable reason, consistent with fair-lending and consumer-protection expectations (Section 10).</w:t>
      </w:r>
    </w:p>
    <w:p w14:paraId="3801215B" w14:textId="77777777" w:rsidR="007355C5" w:rsidRDefault="00AC17C1">
      <w:pPr>
        <w:pStyle w:val="ListParagraph"/>
        <w:numPr>
          <w:ilvl w:val="0"/>
          <w:numId w:val="2"/>
        </w:numPr>
        <w:spacing w:after="80"/>
      </w:pPr>
      <w:r>
        <w:rPr>
          <w:b/>
          <w:bCs/>
        </w:rPr>
        <w:t xml:space="preserve">Inventory and regulatory tagging: </w:t>
      </w:r>
      <w:r>
        <w:t>Every fraud/AML model is registered in the AI/Model Inventory (Section 7.5) tagged to the applicable regime — OSFI E-23 in Canada, U.S. interagency model risk management guidance — per Section 10.</w:t>
      </w:r>
    </w:p>
    <w:p w14:paraId="1E698331" w14:textId="77777777" w:rsidR="007355C5" w:rsidRDefault="00AC17C1">
      <w:pPr>
        <w:pStyle w:val="Heading3"/>
      </w:pPr>
      <w:bookmarkStart w:id="62" w:name="_Toc241649724"/>
      <w:r>
        <w:t>17.1.8 Success Metrics (KPIs)</w:t>
      </w:r>
      <w:bookmarkEnd w:id="62"/>
    </w:p>
    <w:p w14:paraId="50DAAE30" w14:textId="77777777" w:rsidR="007355C5" w:rsidRDefault="00AC17C1">
      <w:pPr>
        <w:pStyle w:val="ListParagraph"/>
        <w:numPr>
          <w:ilvl w:val="0"/>
          <w:numId w:val="2"/>
        </w:numPr>
        <w:spacing w:after="80"/>
      </w:pPr>
      <w:r>
        <w:t>Fraud loss rate (as a % of transaction volume) versus pre-deployment baseline.</w:t>
      </w:r>
    </w:p>
    <w:p w14:paraId="70595AE6" w14:textId="77777777" w:rsidR="007355C5" w:rsidRDefault="00AC17C1">
      <w:pPr>
        <w:pStyle w:val="ListParagraph"/>
        <w:numPr>
          <w:ilvl w:val="0"/>
          <w:numId w:val="2"/>
        </w:numPr>
        <w:spacing w:after="80"/>
      </w:pPr>
      <w:r>
        <w:t>False-positive rate and analyst alert volume.</w:t>
      </w:r>
    </w:p>
    <w:p w14:paraId="2F01263D" w14:textId="77777777" w:rsidR="007355C5" w:rsidRDefault="00AC17C1">
      <w:pPr>
        <w:pStyle w:val="ListParagraph"/>
        <w:numPr>
          <w:ilvl w:val="0"/>
          <w:numId w:val="2"/>
        </w:numPr>
        <w:spacing w:after="80"/>
      </w:pPr>
      <w:r>
        <w:t>Average case handling time and SAR/STR drafting time.</w:t>
      </w:r>
    </w:p>
    <w:p w14:paraId="5A24AF3A" w14:textId="77777777" w:rsidR="007355C5" w:rsidRDefault="00AC17C1">
      <w:pPr>
        <w:pStyle w:val="ListParagraph"/>
        <w:numPr>
          <w:ilvl w:val="0"/>
          <w:numId w:val="2"/>
        </w:numPr>
        <w:spacing w:after="80"/>
      </w:pPr>
      <w:r>
        <w:t>Detection rate / recall on confirmed fraud and laundering cases.</w:t>
      </w:r>
    </w:p>
    <w:p w14:paraId="4C631F55" w14:textId="77777777" w:rsidR="007355C5" w:rsidRDefault="00AC17C1">
      <w:pPr>
        <w:pStyle w:val="ListParagraph"/>
        <w:numPr>
          <w:ilvl w:val="0"/>
          <w:numId w:val="2"/>
        </w:numPr>
        <w:spacing w:after="80"/>
      </w:pPr>
      <w:r>
        <w:t>Model drift and re-validation status (feeding Section 16 monitoring dashboards).</w:t>
      </w:r>
    </w:p>
    <w:p w14:paraId="11B5E2DD" w14:textId="77777777" w:rsidR="007355C5" w:rsidRDefault="00AC17C1">
      <w:pPr>
        <w:pStyle w:val="ListParagraph"/>
        <w:numPr>
          <w:ilvl w:val="0"/>
          <w:numId w:val="2"/>
        </w:numPr>
        <w:spacing w:after="80"/>
      </w:pPr>
      <w:r>
        <w:t>Customer impact metrics: false decline rate and related complaints.</w:t>
      </w:r>
    </w:p>
    <w:p w14:paraId="09CCE9BE" w14:textId="77777777" w:rsidR="007355C5" w:rsidRDefault="00AC17C1">
      <w:pPr>
        <w:pStyle w:val="Heading3"/>
      </w:pPr>
      <w:bookmarkStart w:id="63" w:name="_Toc241649725"/>
      <w:r>
        <w:t>17.1.9 Sample Business Case Outline</w:t>
      </w:r>
      <w:bookmarkEnd w:id="63"/>
    </w:p>
    <w:p w14:paraId="152FCD02" w14:textId="77777777" w:rsidR="007355C5" w:rsidRDefault="00AC17C1">
      <w:pPr>
        <w:spacing w:after="160"/>
      </w:pPr>
      <w:r>
        <w:t>The structure below is intended as a reusable one-page template for any department deep dive in this playbook, to be completed by the sponsoring business unit:</w:t>
      </w:r>
    </w:p>
    <w:p w14:paraId="65D874EE" w14:textId="77777777" w:rsidR="007355C5" w:rsidRDefault="00AC17C1">
      <w:pPr>
        <w:pStyle w:val="ListParagraph"/>
        <w:numPr>
          <w:ilvl w:val="0"/>
          <w:numId w:val="2"/>
        </w:numPr>
        <w:spacing w:after="80"/>
      </w:pPr>
      <w:r>
        <w:rPr>
          <w:b/>
          <w:bCs/>
        </w:rPr>
        <w:t xml:space="preserve">Problem statement: </w:t>
      </w:r>
      <w:r>
        <w:t>Current-state fraud/AML losses, false-positive rate, and investigator capacity constraints.</w:t>
      </w:r>
    </w:p>
    <w:p w14:paraId="3C0AB8EF" w14:textId="77777777" w:rsidR="007355C5" w:rsidRDefault="00AC17C1">
      <w:pPr>
        <w:pStyle w:val="ListParagraph"/>
        <w:numPr>
          <w:ilvl w:val="0"/>
          <w:numId w:val="2"/>
        </w:numPr>
        <w:spacing w:after="80"/>
      </w:pPr>
      <w:r>
        <w:rPr>
          <w:b/>
          <w:bCs/>
        </w:rPr>
        <w:t xml:space="preserve">Target state: </w:t>
      </w:r>
      <w:r>
        <w:t>Expected reduction in losses and false positives, and expected investigator productivity gain.</w:t>
      </w:r>
    </w:p>
    <w:p w14:paraId="026586F0" w14:textId="77777777" w:rsidR="007355C5" w:rsidRDefault="00AC17C1">
      <w:pPr>
        <w:pStyle w:val="ListParagraph"/>
        <w:numPr>
          <w:ilvl w:val="0"/>
          <w:numId w:val="2"/>
        </w:numPr>
        <w:spacing w:after="80"/>
      </w:pPr>
      <w:r>
        <w:rPr>
          <w:b/>
          <w:bCs/>
        </w:rPr>
        <w:lastRenderedPageBreak/>
        <w:t xml:space="preserve">Investment ask: </w:t>
      </w:r>
      <w:r>
        <w:t>Platform, model development, integration, and change-management costs.</w:t>
      </w:r>
    </w:p>
    <w:p w14:paraId="0BF65E10" w14:textId="77777777" w:rsidR="007355C5" w:rsidRDefault="00AC17C1">
      <w:pPr>
        <w:pStyle w:val="ListParagraph"/>
        <w:numPr>
          <w:ilvl w:val="0"/>
          <w:numId w:val="2"/>
        </w:numPr>
        <w:spacing w:after="80"/>
      </w:pPr>
      <w:r>
        <w:rPr>
          <w:b/>
          <w:bCs/>
        </w:rPr>
        <w:t xml:space="preserve">Timeline: </w:t>
      </w:r>
      <w:r>
        <w:t>Aligned to the phased deployment approach in Section 5.3 (pilot, scale, industrialize).</w:t>
      </w:r>
    </w:p>
    <w:p w14:paraId="05833A20" w14:textId="77777777" w:rsidR="007355C5" w:rsidRDefault="00AC17C1">
      <w:pPr>
        <w:pStyle w:val="ListParagraph"/>
        <w:numPr>
          <w:ilvl w:val="0"/>
          <w:numId w:val="2"/>
        </w:numPr>
        <w:spacing w:after="80"/>
      </w:pPr>
      <w:r>
        <w:rPr>
          <w:b/>
          <w:bCs/>
        </w:rPr>
        <w:t xml:space="preserve">Owner and sponsor: </w:t>
      </w:r>
      <w:r>
        <w:t>Accountable business owner and executive sponsor, per the RACI in Section 5.5.</w:t>
      </w:r>
    </w:p>
    <w:p w14:paraId="16598B7A" w14:textId="77777777" w:rsidR="007355C5" w:rsidRDefault="00AC17C1">
      <w:pPr>
        <w:pBdr>
          <w:left w:val="single" w:sz="12" w:space="8" w:color="B00020"/>
        </w:pBdr>
        <w:spacing w:before="80" w:after="200"/>
        <w:ind w:left="200"/>
      </w:pPr>
      <w:r>
        <w:rPr>
          <w:i/>
          <w:iCs/>
          <w:color w:val="B00020"/>
        </w:rPr>
        <w:t>[PLACEHOLDER — Institution-specific baseline metrics, investment figures, and timeline for the Fraud/AML business case]</w:t>
      </w:r>
    </w:p>
    <w:p w14:paraId="044871D6" w14:textId="77777777" w:rsidR="007355C5" w:rsidRDefault="00AC17C1">
      <w:pPr>
        <w:pStyle w:val="Heading2"/>
      </w:pPr>
      <w:bookmarkStart w:id="64" w:name="_Toc241649726"/>
      <w:r>
        <w:t>17.2 Deep Dive: Customer Service &amp; Engagement</w:t>
      </w:r>
      <w:bookmarkEnd w:id="64"/>
    </w:p>
    <w:p w14:paraId="6A43D942" w14:textId="77777777" w:rsidR="007355C5" w:rsidRDefault="00AC17C1">
      <w:pPr>
        <w:pStyle w:val="Heading3"/>
      </w:pPr>
      <w:bookmarkStart w:id="65" w:name="_Toc241649727"/>
      <w:r>
        <w:t>17.2.1 The Problem</w:t>
      </w:r>
      <w:bookmarkEnd w:id="65"/>
    </w:p>
    <w:p w14:paraId="47F2B3DC" w14:textId="77777777" w:rsidR="007355C5" w:rsidRDefault="00AC17C1">
      <w:pPr>
        <w:spacing w:after="160"/>
      </w:pPr>
      <w:r>
        <w:t>Customers expect fast, accurate, and consistent service across every channel — web, mobile, phone, and branch — but most banks still deliver that service through siloed systems and channel-specific teams:</w:t>
      </w:r>
    </w:p>
    <w:p w14:paraId="44EAD491" w14:textId="77777777" w:rsidR="007355C5" w:rsidRDefault="00AC17C1">
      <w:pPr>
        <w:pStyle w:val="ListParagraph"/>
        <w:numPr>
          <w:ilvl w:val="0"/>
          <w:numId w:val="2"/>
        </w:numPr>
        <w:spacing w:after="80"/>
      </w:pPr>
      <w:r>
        <w:rPr>
          <w:b/>
          <w:bCs/>
        </w:rPr>
        <w:t xml:space="preserve">High-volume, low-complexity demand: </w:t>
      </w:r>
      <w:r>
        <w:t>A large share of contact volume is routine (balance inquiries, card blocks, statement requests) yet still consumes scarce agent time and drives long wait times.</w:t>
      </w:r>
    </w:p>
    <w:p w14:paraId="7FE989C0" w14:textId="77777777" w:rsidR="007355C5" w:rsidRDefault="00AC17C1">
      <w:pPr>
        <w:pStyle w:val="ListParagraph"/>
        <w:numPr>
          <w:ilvl w:val="0"/>
          <w:numId w:val="2"/>
        </w:numPr>
        <w:spacing w:after="80"/>
      </w:pPr>
      <w:r>
        <w:rPr>
          <w:b/>
          <w:bCs/>
        </w:rPr>
        <w:t xml:space="preserve">Fragmented customer context: </w:t>
      </w:r>
      <w:r>
        <w:t>Agents often lack a single view of the customer's accounts, products, and prior interactions, forcing customers to repeat themselves across channels and handoffs.</w:t>
      </w:r>
    </w:p>
    <w:p w14:paraId="3D568B1A" w14:textId="77777777" w:rsidR="007355C5" w:rsidRDefault="00AC17C1">
      <w:pPr>
        <w:pStyle w:val="ListParagraph"/>
        <w:numPr>
          <w:ilvl w:val="0"/>
          <w:numId w:val="2"/>
        </w:numPr>
        <w:spacing w:after="80"/>
      </w:pPr>
      <w:r>
        <w:rPr>
          <w:b/>
          <w:bCs/>
        </w:rPr>
        <w:t xml:space="preserve">Rising expectations, flat headcount: </w:t>
      </w:r>
      <w:r>
        <w:t>Customers expect 24/7, near-instant service; contact center headcount and budgets rarely grow at the same rate as digital transaction volume.</w:t>
      </w:r>
    </w:p>
    <w:p w14:paraId="3C234421" w14:textId="77777777" w:rsidR="007355C5" w:rsidRDefault="00AC17C1">
      <w:pPr>
        <w:pStyle w:val="ListParagraph"/>
        <w:numPr>
          <w:ilvl w:val="0"/>
          <w:numId w:val="2"/>
        </w:numPr>
        <w:spacing w:after="80"/>
      </w:pPr>
      <w:r>
        <w:rPr>
          <w:b/>
          <w:bCs/>
        </w:rPr>
        <w:t xml:space="preserve">Agent attrition and training cost: </w:t>
      </w:r>
      <w:r>
        <w:t>Contact center turnover is high, and new agents take months to reach full productivity across the bank's full product and policy set.</w:t>
      </w:r>
    </w:p>
    <w:p w14:paraId="2FF97E1B" w14:textId="77777777" w:rsidR="007355C5" w:rsidRDefault="00AC17C1">
      <w:pPr>
        <w:pStyle w:val="ListParagraph"/>
        <w:numPr>
          <w:ilvl w:val="0"/>
          <w:numId w:val="2"/>
        </w:numPr>
        <w:spacing w:after="80"/>
      </w:pPr>
      <w:r>
        <w:rPr>
          <w:b/>
          <w:bCs/>
        </w:rPr>
        <w:t xml:space="preserve">Compliance risk in every conversation: </w:t>
      </w:r>
      <w:r>
        <w:t>Every customer interaction carries disclosure, recording-consent, and fair-treatment obligations that must be met consistently, including for vulnerable customers.</w:t>
      </w:r>
    </w:p>
    <w:p w14:paraId="11679CAA" w14:textId="77777777" w:rsidR="007355C5" w:rsidRDefault="00AC17C1">
      <w:pPr>
        <w:pStyle w:val="ListParagraph"/>
        <w:numPr>
          <w:ilvl w:val="0"/>
          <w:numId w:val="2"/>
        </w:numPr>
        <w:spacing w:after="80"/>
      </w:pPr>
      <w:r>
        <w:rPr>
          <w:b/>
          <w:bCs/>
        </w:rPr>
        <w:t xml:space="preserve">Personalization is hard at scale: </w:t>
      </w:r>
      <w:r>
        <w:t>Delivering relevant, timely offers or guidance requires a unified customer profile that most banks' fragmented product-line data does not support today.</w:t>
      </w:r>
    </w:p>
    <w:p w14:paraId="4EF1EAD7" w14:textId="77777777" w:rsidR="007355C5" w:rsidRDefault="00AC17C1">
      <w:pPr>
        <w:pStyle w:val="Heading3"/>
      </w:pPr>
      <w:bookmarkStart w:id="66" w:name="_Toc241649728"/>
      <w:r>
        <w:t>17.2.2 How Microsoft Azure and Azure AI Can Help</w:t>
      </w:r>
      <w:bookmarkEnd w:id="66"/>
    </w:p>
    <w:p w14:paraId="31CB2614" w14:textId="77777777" w:rsidR="007355C5" w:rsidRDefault="00AC17C1">
      <w:pPr>
        <w:spacing w:after="160"/>
      </w:pPr>
      <w:r>
        <w:t>Azure enables a shift from channel-siloed, agent-dependent service to an AI-augmented model that resolves routine requests instantly, gives human agents full context in seconds, and keeps a human firmly in charge of complex, sensitive, or regulated conversations:</w:t>
      </w:r>
    </w:p>
    <w:p w14:paraId="59809D4A" w14:textId="77777777" w:rsidR="007355C5" w:rsidRDefault="00AC17C1">
      <w:pPr>
        <w:pStyle w:val="ListParagraph"/>
        <w:numPr>
          <w:ilvl w:val="0"/>
          <w:numId w:val="2"/>
        </w:numPr>
        <w:spacing w:after="80"/>
      </w:pPr>
      <w:r>
        <w:rPr>
          <w:b/>
          <w:bCs/>
        </w:rPr>
        <w:t xml:space="preserve">Conversational self-service: </w:t>
      </w:r>
      <w:r>
        <w:t>Generative, grounded virtual agents handle routine requests around the clock, freeing human agents for higher-value and more sensitive conversations.</w:t>
      </w:r>
    </w:p>
    <w:p w14:paraId="361EF96C" w14:textId="77777777" w:rsidR="007355C5" w:rsidRDefault="00AC17C1">
      <w:pPr>
        <w:pStyle w:val="ListParagraph"/>
        <w:numPr>
          <w:ilvl w:val="0"/>
          <w:numId w:val="2"/>
        </w:numPr>
        <w:spacing w:after="80"/>
      </w:pPr>
      <w:r>
        <w:rPr>
          <w:b/>
          <w:bCs/>
        </w:rPr>
        <w:t xml:space="preserve">Agent-assist, not agent-replace: </w:t>
      </w:r>
      <w:r>
        <w:t>A copilot summarizes the customer's history and the live conversation in real time and suggests next-best actions, while the human agent makes and owns the final call.</w:t>
      </w:r>
    </w:p>
    <w:p w14:paraId="5D538065" w14:textId="77777777" w:rsidR="007355C5" w:rsidRDefault="00AC17C1">
      <w:pPr>
        <w:pStyle w:val="ListParagraph"/>
        <w:numPr>
          <w:ilvl w:val="0"/>
          <w:numId w:val="2"/>
        </w:numPr>
        <w:spacing w:after="80"/>
      </w:pPr>
      <w:r>
        <w:rPr>
          <w:b/>
          <w:bCs/>
        </w:rPr>
        <w:t xml:space="preserve">Unified customer context: </w:t>
      </w:r>
      <w:r>
        <w:t>A governed, unified customer profile brings together account, product, and interaction history so both virtual agents and human agents see the same complete picture.</w:t>
      </w:r>
    </w:p>
    <w:p w14:paraId="67718C90" w14:textId="77777777" w:rsidR="007355C5" w:rsidRDefault="00AC17C1">
      <w:pPr>
        <w:pStyle w:val="ListParagraph"/>
        <w:numPr>
          <w:ilvl w:val="0"/>
          <w:numId w:val="2"/>
        </w:numPr>
        <w:spacing w:after="80"/>
      </w:pPr>
      <w:r>
        <w:rPr>
          <w:b/>
          <w:bCs/>
        </w:rPr>
        <w:lastRenderedPageBreak/>
        <w:t xml:space="preserve">Real-time quality and risk signals: </w:t>
      </w:r>
      <w:r>
        <w:t>Speech-to-text, sentiment, and topic analysis flag complaints, vulnerable-customer indicators, or possible fraud during the interaction, not after it, enabling faster supervisor intervention.</w:t>
      </w:r>
    </w:p>
    <w:p w14:paraId="0A2A6368" w14:textId="77777777" w:rsidR="007355C5" w:rsidRDefault="00AC17C1">
      <w:pPr>
        <w:pStyle w:val="ListParagraph"/>
        <w:numPr>
          <w:ilvl w:val="0"/>
          <w:numId w:val="2"/>
        </w:numPr>
        <w:spacing w:after="80"/>
      </w:pPr>
      <w:r>
        <w:rPr>
          <w:b/>
          <w:bCs/>
        </w:rPr>
        <w:t xml:space="preserve">Consistent, governed knowledge: </w:t>
      </w:r>
      <w:r>
        <w:t>Responses are grounded in the bank's current, approved policy and product content rather than open-ended generation, reducing the risk of inaccurate or non-compliant answers.</w:t>
      </w:r>
    </w:p>
    <w:p w14:paraId="17344043" w14:textId="77777777" w:rsidR="007355C5" w:rsidRDefault="00AC17C1">
      <w:pPr>
        <w:pStyle w:val="ListParagraph"/>
        <w:numPr>
          <w:ilvl w:val="0"/>
          <w:numId w:val="2"/>
        </w:numPr>
        <w:spacing w:after="80"/>
      </w:pPr>
      <w:r>
        <w:rPr>
          <w:b/>
          <w:bCs/>
        </w:rPr>
        <w:t xml:space="preserve">Same governance guardrails as every other use case: </w:t>
      </w:r>
      <w:r>
        <w:t>Conversational AI is registered in the AI/Model Inventory, risk-tiered, and subject to the human-oversight and escalation standards in Sections 7 and 11.</w:t>
      </w:r>
    </w:p>
    <w:p w14:paraId="4A91F5A6" w14:textId="77777777" w:rsidR="007355C5" w:rsidRDefault="00AC17C1">
      <w:pPr>
        <w:pStyle w:val="Heading3"/>
      </w:pPr>
      <w:bookmarkStart w:id="67" w:name="_Toc241649729"/>
      <w:r>
        <w:t>17.2.3 Specific Azure and Microsoft Products</w:t>
      </w:r>
      <w:bookmarkEnd w:id="67"/>
    </w:p>
    <w:p w14:paraId="5C89BAB1" w14:textId="77777777" w:rsidR="007355C5" w:rsidRDefault="00AC17C1">
      <w:pPr>
        <w:spacing w:after="160"/>
      </w:pPr>
      <w:r>
        <w:t>The following Azure and Microsoft products map to the capabilities most relevant to customer service and engagement: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3260"/>
        <w:gridCol w:w="3800"/>
      </w:tblGrid>
      <w:tr w:rsidR="007355C5" w14:paraId="5E6CEED7" w14:textId="77777777">
        <w:trPr>
          <w:tblHeader/>
        </w:trPr>
        <w:tc>
          <w:tcPr>
            <w:tcW w:w="23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ACC0CE4" w14:textId="77777777" w:rsidR="007355C5" w:rsidRDefault="00AC17C1">
            <w:r>
              <w:rPr>
                <w:b/>
                <w:bCs/>
                <w:color w:val="FFFFFF"/>
              </w:rPr>
              <w:t>Capability</w:t>
            </w:r>
          </w:p>
        </w:tc>
        <w:tc>
          <w:tcPr>
            <w:tcW w:w="32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1175294" w14:textId="77777777" w:rsidR="007355C5" w:rsidRDefault="00AC17C1">
            <w:r>
              <w:rPr>
                <w:b/>
                <w:bCs/>
                <w:color w:val="FFFFFF"/>
              </w:rPr>
              <w:t>Azure / Microsoft Product</w:t>
            </w:r>
          </w:p>
        </w:tc>
        <w:tc>
          <w:tcPr>
            <w:tcW w:w="3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6C7EA1C" w14:textId="77777777" w:rsidR="007355C5" w:rsidRDefault="00AC17C1">
            <w:r>
              <w:rPr>
                <w:b/>
                <w:bCs/>
                <w:color w:val="FFFFFF"/>
              </w:rPr>
              <w:t>Role</w:t>
            </w:r>
          </w:p>
        </w:tc>
      </w:tr>
      <w:tr w:rsidR="007355C5" w14:paraId="5C81FAA5"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139090" w14:textId="77777777" w:rsidR="007355C5" w:rsidRDefault="00AC17C1">
            <w:r>
              <w:t>Conversational virtual agent</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9DB1B7" w14:textId="77777777" w:rsidR="007355C5" w:rsidRDefault="00AC17C1">
            <w:r>
              <w:t>Microsoft Copilot Studio; Azure AI Foundry Agent Service; Azure OpenAI Service</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5B7854F" w14:textId="77777777" w:rsidR="007355C5" w:rsidRDefault="00AC17C1">
            <w:r>
              <w:t>Build grounded, generative virtual agents for web, mobile, and IVR channels that resolve routine requests and escalate complex ones.</w:t>
            </w:r>
          </w:p>
        </w:tc>
      </w:tr>
      <w:tr w:rsidR="007355C5" w14:paraId="7988BBEA"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7968B5" w14:textId="77777777" w:rsidR="007355C5" w:rsidRDefault="00AC17C1">
            <w:r>
              <w:t>Speech-to-text &amp;amp; voice analytics</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B29649" w14:textId="77777777" w:rsidR="007355C5" w:rsidRDefault="00AC17C1">
            <w:r>
              <w:t>Azure AI Speech</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3C40A4" w14:textId="77777777" w:rsidR="007355C5" w:rsidRDefault="00AC17C1">
            <w:r>
              <w:t>Transcribe phone and IVR conversations in real time to support agent-assist, quality monitoring, and compliance review.</w:t>
            </w:r>
          </w:p>
        </w:tc>
      </w:tr>
      <w:tr w:rsidR="007355C5" w14:paraId="6255B5FC"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D9DEA8F" w14:textId="77777777" w:rsidR="007355C5" w:rsidRDefault="00AC17C1">
            <w:r>
              <w:t>Sentiment &amp;amp; topic analysis</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3C2ED0" w14:textId="77777777" w:rsidR="007355C5" w:rsidRDefault="00AC17C1">
            <w:r>
              <w:t>Azure AI Language</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DCCA9C" w14:textId="77777777" w:rsidR="007355C5" w:rsidRDefault="00AC17C1">
            <w:r>
              <w:t>Detect complaint risk, vulnerable-customer signals, and emerging issue themes across chat and voice interactions.</w:t>
            </w:r>
          </w:p>
        </w:tc>
      </w:tr>
      <w:tr w:rsidR="007355C5" w14:paraId="41AFD41B"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D33734B" w14:textId="77777777" w:rsidR="007355C5" w:rsidRDefault="00AC17C1">
            <w:r>
              <w:t>Agent-assist copilot</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9DAC98F" w14:textId="77777777" w:rsidR="007355C5" w:rsidRDefault="00AC17C1">
            <w:r>
              <w:t>Azure OpenAI Service; Azure AI Foundry Agent Service; Azure AI Search</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73271A" w14:textId="77777777" w:rsidR="007355C5" w:rsidRDefault="00AC17C1">
            <w:r>
              <w:t>Summarize customer history and live conversation, and retrieve grounded answers from approved policy/product content (retrieval-augmented generation).</w:t>
            </w:r>
          </w:p>
        </w:tc>
      </w:tr>
      <w:tr w:rsidR="007355C5" w14:paraId="23DCEE13"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68EA7A" w14:textId="77777777" w:rsidR="007355C5" w:rsidRDefault="00AC17C1">
            <w:r>
              <w:t>Unified customer profile &amp;amp; next-best-action</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F7F58F" w14:textId="77777777" w:rsidR="007355C5" w:rsidRDefault="00AC17C1">
            <w:r>
              <w:t>Dynamics 365 Customer Insights; Microsoft Fabric</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941B02" w14:textId="77777777" w:rsidR="007355C5" w:rsidRDefault="00AC17C1">
            <w:r>
              <w:t>Bring together account, product, and interaction history into a single governed customer profile used across channels.</w:t>
            </w:r>
          </w:p>
        </w:tc>
      </w:tr>
      <w:tr w:rsidR="007355C5" w14:paraId="42F3AEF1"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A625BE" w14:textId="77777777" w:rsidR="007355C5" w:rsidRDefault="00AC17C1">
            <w:r>
              <w:t>Omnichannel case &amp;amp; workflow orchestration</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A02D7DF" w14:textId="77777777" w:rsidR="007355C5" w:rsidRDefault="00AC17C1">
            <w:r>
              <w:t>Dynamics 365 Customer Service; Power Platform</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204493" w14:textId="77777777" w:rsidR="007355C5" w:rsidRDefault="00AC17C1">
            <w:r>
              <w:t>Route, track, and hand off conversations across channels and between virtual agents and human agents without losing context.</w:t>
            </w:r>
          </w:p>
        </w:tc>
      </w:tr>
      <w:tr w:rsidR="007355C5" w14:paraId="49164849"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8B30FD" w14:textId="77777777" w:rsidR="007355C5" w:rsidRDefault="00AC17C1">
            <w:r>
              <w:t>Multilingual support</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E320CC" w14:textId="77777777" w:rsidR="007355C5" w:rsidRDefault="00AC17C1">
            <w:r>
              <w:t>Azure AI Translator</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36DDF25" w14:textId="77777777" w:rsidR="007355C5" w:rsidRDefault="00AC17C1">
            <w:r>
              <w:t>Serve customers in their preferred language without a proportional increase in specialized staffing.</w:t>
            </w:r>
          </w:p>
        </w:tc>
      </w:tr>
      <w:tr w:rsidR="007355C5" w14:paraId="2E52EEA9"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6DFFB0C" w14:textId="77777777" w:rsidR="007355C5" w:rsidRDefault="00AC17C1">
            <w:r>
              <w:lastRenderedPageBreak/>
              <w:t>Caller/customer authentication</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9AEF618" w14:textId="77777777" w:rsidR="007355C5" w:rsidRDefault="00AC17C1">
            <w:r>
              <w:t>Microsoft Entra ID (see Section 8)</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23BE94" w14:textId="77777777" w:rsidR="007355C5" w:rsidRDefault="00AC17C1">
            <w:r>
              <w:t>Verify customer identity and apply step-up authentication before any account-impacting action is taken.</w:t>
            </w:r>
          </w:p>
        </w:tc>
      </w:tr>
      <w:tr w:rsidR="007355C5" w14:paraId="340053D9"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9A9A64" w14:textId="77777777" w:rsidR="007355C5" w:rsidRDefault="00AC17C1">
            <w:r>
              <w:t>Knowledge management &amp;amp; search</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21D5BB" w14:textId="77777777" w:rsidR="007355C5" w:rsidRDefault="00AC17C1">
            <w:r>
              <w:t>Azure AI Search</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91133E2" w14:textId="77777777" w:rsidR="007355C5" w:rsidRDefault="00AC17C1">
            <w:r>
              <w:t>Index approved policy, product, and procedure content so both virtual agents and human agents retrieve current, consistent answers.</w:t>
            </w:r>
          </w:p>
        </w:tc>
      </w:tr>
      <w:tr w:rsidR="007355C5" w14:paraId="55C56067"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9D7125" w14:textId="77777777" w:rsidR="007355C5" w:rsidRDefault="00AC17C1">
            <w:r>
              <w:t>Model governance &amp;amp; monitoring</w:t>
            </w:r>
          </w:p>
        </w:tc>
        <w:tc>
          <w:tcPr>
            <w:tcW w:w="3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0A4C98" w14:textId="77777777" w:rsidR="007355C5" w:rsidRDefault="00AC17C1">
            <w:r>
              <w:t>Azure AI Foundry Responsible AI dashboard; Azure Monitor</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2926E1" w14:textId="77777777" w:rsidR="007355C5" w:rsidRDefault="00AC17C1">
            <w:r>
              <w:t>Track accuracy, escalation rates, and drift, feeding status into the AI/Model Inventory (Section 7.5).</w:t>
            </w:r>
          </w:p>
        </w:tc>
      </w:tr>
    </w:tbl>
    <w:p w14:paraId="10102105" w14:textId="77777777" w:rsidR="007355C5" w:rsidRDefault="007355C5">
      <w:pPr>
        <w:spacing w:after="160"/>
      </w:pPr>
    </w:p>
    <w:p w14:paraId="55CF68E0" w14:textId="77777777" w:rsidR="007355C5" w:rsidRDefault="00AC17C1">
      <w:pPr>
        <w:pStyle w:val="Heading3"/>
      </w:pPr>
      <w:bookmarkStart w:id="68" w:name="_Toc241649730"/>
      <w:r>
        <w:t>17.2.4 Illustrative Solution Pattern</w:t>
      </w:r>
      <w:bookmarkEnd w:id="68"/>
    </w:p>
    <w:p w14:paraId="10F72BB9" w14:textId="77777777" w:rsidR="007355C5" w:rsidRDefault="00AC17C1">
      <w:pPr>
        <w:spacing w:after="160"/>
      </w:pPr>
      <w:r>
        <w:t>A representative end-to-end flow on Azure:</w:t>
      </w:r>
    </w:p>
    <w:p w14:paraId="75552395" w14:textId="77777777" w:rsidR="007355C5" w:rsidRDefault="00AC17C1">
      <w:pPr>
        <w:pStyle w:val="ListParagraph"/>
        <w:numPr>
          <w:ilvl w:val="0"/>
          <w:numId w:val="3"/>
        </w:numPr>
        <w:spacing w:after="80"/>
      </w:pPr>
      <w:r>
        <w:t>Customer initiates contact through web chat, the mobile app, or IVR/phone.</w:t>
      </w:r>
    </w:p>
    <w:p w14:paraId="5E4300FD" w14:textId="77777777" w:rsidR="007355C5" w:rsidRDefault="00AC17C1">
      <w:pPr>
        <w:pStyle w:val="ListParagraph"/>
        <w:numPr>
          <w:ilvl w:val="0"/>
          <w:numId w:val="3"/>
        </w:numPr>
        <w:spacing w:after="80"/>
      </w:pPr>
      <w:r>
        <w:t>The virtual agent (Copilot Studio / Azure AI Foundry Agent Service, backed by Azure OpenAI Service) authenticates the customer via Microsoft Entra ID and retrieves their unified profile from Dynamics 365 Customer Insights / Microsoft Fabric.</w:t>
      </w:r>
    </w:p>
    <w:p w14:paraId="4B89DF79" w14:textId="77777777" w:rsidR="007355C5" w:rsidRDefault="00AC17C1">
      <w:pPr>
        <w:pStyle w:val="ListParagraph"/>
        <w:numPr>
          <w:ilvl w:val="0"/>
          <w:numId w:val="3"/>
        </w:numPr>
        <w:spacing w:after="80"/>
      </w:pPr>
      <w:r>
        <w:t>Routine requests (balance, statements, card block, address change) are resolved through grounded self-service, with answers retrieved from approved content via Azure AI Search rather than freely generated.</w:t>
      </w:r>
    </w:p>
    <w:p w14:paraId="034EFE93" w14:textId="77777777" w:rsidR="007355C5" w:rsidRDefault="00AC17C1">
      <w:pPr>
        <w:pStyle w:val="ListParagraph"/>
        <w:numPr>
          <w:ilvl w:val="0"/>
          <w:numId w:val="3"/>
        </w:numPr>
        <w:spacing w:after="80"/>
      </w:pPr>
      <w:r>
        <w:t>Complex, emotional, or regulated requests are escalated to a human agent with full context carried forward; the agent-assist copilot summarizes the conversation so far and suggests next steps.</w:t>
      </w:r>
    </w:p>
    <w:p w14:paraId="08890A2C" w14:textId="77777777" w:rsidR="007355C5" w:rsidRDefault="00AC17C1">
      <w:pPr>
        <w:pStyle w:val="ListParagraph"/>
        <w:numPr>
          <w:ilvl w:val="0"/>
          <w:numId w:val="3"/>
        </w:numPr>
        <w:spacing w:after="80"/>
      </w:pPr>
      <w:r>
        <w:t>For voice channels, Azure AI Speech transcribes the call in real time and Azure AI Language flags sentiment, complaint risk, or vulnerable-customer indicators for supervisor visibility.</w:t>
      </w:r>
    </w:p>
    <w:p w14:paraId="0C57F961" w14:textId="77777777" w:rsidR="007355C5" w:rsidRDefault="00AC17C1">
      <w:pPr>
        <w:pStyle w:val="ListParagraph"/>
        <w:numPr>
          <w:ilvl w:val="0"/>
          <w:numId w:val="3"/>
        </w:numPr>
        <w:spacing w:after="80"/>
      </w:pPr>
      <w:r>
        <w:t>After the interaction, the conversation is automatically summarized, tagged, and logged in Dynamics 365 Customer Service for compliance review and quality assurance.</w:t>
      </w:r>
    </w:p>
    <w:p w14:paraId="2606BBF9" w14:textId="77777777" w:rsidR="007355C5" w:rsidRDefault="00AC17C1">
      <w:pPr>
        <w:pStyle w:val="ListParagraph"/>
        <w:numPr>
          <w:ilvl w:val="0"/>
          <w:numId w:val="3"/>
        </w:numPr>
        <w:spacing w:after="80"/>
      </w:pPr>
      <w:r>
        <w:t>Outcomes and agent feedback feed back into intent and knowledge-base tuning, with all models tracked in the AI/Model Inventory (Section 7.5) and monitored per Section 16.</w:t>
      </w:r>
    </w:p>
    <w:p w14:paraId="6B65FD73" w14:textId="77777777" w:rsidR="007355C5" w:rsidRDefault="00AC17C1">
      <w:pPr>
        <w:pStyle w:val="Heading3"/>
      </w:pPr>
      <w:bookmarkStart w:id="69" w:name="_Toc241649731"/>
      <w:r>
        <w:t>17.2.5 Business Benefits</w:t>
      </w:r>
      <w:bookmarkEnd w:id="6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4260"/>
        <w:gridCol w:w="2800"/>
      </w:tblGrid>
      <w:tr w:rsidR="007355C5" w14:paraId="11CFD929" w14:textId="77777777">
        <w:trPr>
          <w:tblHeader/>
        </w:trPr>
        <w:tc>
          <w:tcPr>
            <w:tcW w:w="23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2B90E5A" w14:textId="77777777" w:rsidR="007355C5" w:rsidRDefault="00AC17C1">
            <w:r>
              <w:rPr>
                <w:b/>
                <w:bCs/>
                <w:color w:val="FFFFFF"/>
              </w:rPr>
              <w:t>Benefit Category</w:t>
            </w:r>
          </w:p>
        </w:tc>
        <w:tc>
          <w:tcPr>
            <w:tcW w:w="42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06869FC" w14:textId="77777777" w:rsidR="007355C5" w:rsidRDefault="00AC17C1">
            <w:r>
              <w:rPr>
                <w:b/>
                <w:bCs/>
                <w:color w:val="FFFFFF"/>
              </w:rPr>
              <w:t>Description</w:t>
            </w:r>
          </w:p>
        </w:tc>
        <w:tc>
          <w:tcPr>
            <w:tcW w:w="2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0B6D9D6" w14:textId="77777777" w:rsidR="007355C5" w:rsidRDefault="00AC17C1">
            <w:r>
              <w:rPr>
                <w:b/>
                <w:bCs/>
                <w:color w:val="FFFFFF"/>
              </w:rPr>
              <w:t>Illustrative Metric</w:t>
            </w:r>
          </w:p>
        </w:tc>
      </w:tr>
      <w:tr w:rsidR="007355C5" w14:paraId="14A34C3F"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CABB61" w14:textId="77777777" w:rsidR="007355C5" w:rsidRDefault="00AC17C1">
            <w:r>
              <w:t>Faster resolution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5836F01" w14:textId="77777777" w:rsidR="007355C5" w:rsidRDefault="00AC17C1">
            <w:r>
              <w:t>Routine requests are resolved instantly through self-service, and human agents get full context in seconds.</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E462917" w14:textId="77777777" w:rsidR="007355C5" w:rsidRDefault="00AC17C1">
            <w:r>
              <w:t>Average handle time; first-contact resolution rate</w:t>
            </w:r>
          </w:p>
        </w:tc>
      </w:tr>
      <w:tr w:rsidR="007355C5" w14:paraId="6A6A4AB9"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B0CE26" w14:textId="77777777" w:rsidR="007355C5" w:rsidRDefault="00AC17C1">
            <w:r>
              <w:t>Lower cost to serve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E169A9" w14:textId="77777777" w:rsidR="007355C5" w:rsidRDefault="00AC17C1">
            <w:r>
              <w:t>A larger share of contact volume is deflected to self-service without degrading quality.</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69F5AC6" w14:textId="77777777" w:rsidR="007355C5" w:rsidRDefault="00AC17C1">
            <w:r>
              <w:t>% of interactions fully resolved by virtual agent</w:t>
            </w:r>
          </w:p>
        </w:tc>
      </w:tr>
      <w:tr w:rsidR="007355C5" w14:paraId="1D90F1E3"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C19186" w14:textId="77777777" w:rsidR="007355C5" w:rsidRDefault="00AC17C1">
            <w:r>
              <w:lastRenderedPageBreak/>
              <w:t>Consistent, compliant service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F86DE3" w14:textId="77777777" w:rsidR="007355C5" w:rsidRDefault="00AC17C1">
            <w:r>
              <w:t>Grounded, approved-content responses reduce variability and compliance risk across agents and channels.</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9C7DBF" w14:textId="77777777" w:rsidR="007355C5" w:rsidRDefault="00AC17C1">
            <w:r>
              <w:t>QA score; compliance audit pass rate</w:t>
            </w:r>
          </w:p>
        </w:tc>
      </w:tr>
      <w:tr w:rsidR="007355C5" w14:paraId="4C322A3E"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9C61B6" w14:textId="77777777" w:rsidR="007355C5" w:rsidRDefault="00AC17C1">
            <w:r>
              <w:t>Improved customer satisfaction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65D718F" w14:textId="77777777" w:rsidR="007355C5" w:rsidRDefault="00AC17C1">
            <w:r>
              <w:t>Faster, more consistent, and better-informed service improves the customer experience.</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DA711C" w14:textId="77777777" w:rsidR="007355C5" w:rsidRDefault="00AC17C1">
            <w:r>
              <w:t>CSAT / Net Promoter Score</w:t>
            </w:r>
          </w:p>
        </w:tc>
      </w:tr>
      <w:tr w:rsidR="007355C5" w14:paraId="5EF8BE4B"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8B7C18" w14:textId="77777777" w:rsidR="007355C5" w:rsidRDefault="00AC17C1">
            <w:r>
              <w:t>Better agent experience and retention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2469F3" w14:textId="77777777" w:rsidR="007355C5" w:rsidRDefault="00AC17C1">
            <w:r>
              <w:t>Agents spend less time on repetitive lookups and more time on meaningful, complex conversations.</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018930" w14:textId="77777777" w:rsidR="007355C5" w:rsidRDefault="00AC17C1">
            <w:r>
              <w:t>Agent attrition rate; agent satisfaction score</w:t>
            </w:r>
          </w:p>
        </w:tc>
      </w:tr>
      <w:tr w:rsidR="007355C5" w14:paraId="62D9011A" w14:textId="77777777">
        <w:tc>
          <w:tcPr>
            <w:tcW w:w="23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7A92482" w14:textId="77777777" w:rsidR="007355C5" w:rsidRDefault="00AC17C1">
            <w:r>
              <w:t>Personalization and relevant offers</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EA39DB" w14:textId="77777777" w:rsidR="007355C5" w:rsidRDefault="00AC17C1">
            <w:r>
              <w:t>A unified customer profile supports more relevant, timely, and compliant next-best-action offers.</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BA9452" w14:textId="77777777" w:rsidR="007355C5" w:rsidRDefault="00AC17C1">
            <w:r>
              <w:t>Next-best-offer acceptance rate</w:t>
            </w:r>
          </w:p>
        </w:tc>
      </w:tr>
    </w:tbl>
    <w:p w14:paraId="3A0C3144" w14:textId="77777777" w:rsidR="007355C5" w:rsidRDefault="007355C5">
      <w:pPr>
        <w:spacing w:after="160"/>
      </w:pPr>
    </w:p>
    <w:p w14:paraId="00CAC9FC" w14:textId="77777777" w:rsidR="007355C5" w:rsidRDefault="00AC17C1">
      <w:pPr>
        <w:pStyle w:val="Heading3"/>
      </w:pPr>
      <w:bookmarkStart w:id="70" w:name="_Toc241649732"/>
      <w:r>
        <w:t>17.2.6 Data and Integration Requirements</w:t>
      </w:r>
      <w:bookmarkEnd w:id="70"/>
    </w:p>
    <w:p w14:paraId="7EB37893" w14:textId="77777777" w:rsidR="007355C5" w:rsidRDefault="00AC17C1">
      <w:pPr>
        <w:pStyle w:val="ListParagraph"/>
        <w:numPr>
          <w:ilvl w:val="0"/>
          <w:numId w:val="2"/>
        </w:numPr>
        <w:spacing w:after="80"/>
      </w:pPr>
      <w:r>
        <w:t>Core banking and product/account data across all lines of business.</w:t>
      </w:r>
    </w:p>
    <w:p w14:paraId="462589CD" w14:textId="77777777" w:rsidR="007355C5" w:rsidRDefault="00AC17C1">
      <w:pPr>
        <w:pStyle w:val="ListParagraph"/>
        <w:numPr>
          <w:ilvl w:val="0"/>
          <w:numId w:val="2"/>
        </w:numPr>
        <w:spacing w:after="80"/>
      </w:pPr>
      <w:r>
        <w:t>CRM and case history, including prior interactions across all channels.</w:t>
      </w:r>
    </w:p>
    <w:p w14:paraId="29246028" w14:textId="77777777" w:rsidR="007355C5" w:rsidRDefault="00AC17C1">
      <w:pPr>
        <w:pStyle w:val="ListParagraph"/>
        <w:numPr>
          <w:ilvl w:val="0"/>
          <w:numId w:val="2"/>
        </w:numPr>
        <w:spacing w:after="80"/>
      </w:pPr>
      <w:r>
        <w:t>Approved policy, product, and procedure content, kept current for grounding.</w:t>
      </w:r>
    </w:p>
    <w:p w14:paraId="73899A79" w14:textId="77777777" w:rsidR="007355C5" w:rsidRDefault="00AC17C1">
      <w:pPr>
        <w:pStyle w:val="ListParagraph"/>
        <w:numPr>
          <w:ilvl w:val="0"/>
          <w:numId w:val="2"/>
        </w:numPr>
        <w:spacing w:after="80"/>
      </w:pPr>
      <w:r>
        <w:t>Call recordings and chat transcripts, with documented recording/AI-use consent.</w:t>
      </w:r>
    </w:p>
    <w:p w14:paraId="00F7F9CA" w14:textId="77777777" w:rsidR="007355C5" w:rsidRDefault="00AC17C1">
      <w:pPr>
        <w:pStyle w:val="ListParagraph"/>
        <w:numPr>
          <w:ilvl w:val="0"/>
          <w:numId w:val="2"/>
        </w:numPr>
        <w:spacing w:after="80"/>
      </w:pPr>
      <w:r>
        <w:t>Customer consent and preference data governing use of information for personalization.</w:t>
      </w:r>
    </w:p>
    <w:p w14:paraId="4436682A" w14:textId="77777777" w:rsidR="007355C5" w:rsidRDefault="00AC17C1">
      <w:pPr>
        <w:pStyle w:val="ListParagraph"/>
        <w:numPr>
          <w:ilvl w:val="0"/>
          <w:numId w:val="2"/>
        </w:numPr>
        <w:spacing w:after="80"/>
      </w:pPr>
      <w:r>
        <w:t>Data quality, classification, and lineage management via Microsoft Purview.</w:t>
      </w:r>
    </w:p>
    <w:p w14:paraId="7646EC6C" w14:textId="77777777" w:rsidR="007355C5" w:rsidRDefault="00AC17C1">
      <w:pPr>
        <w:pStyle w:val="Heading3"/>
      </w:pPr>
      <w:bookmarkStart w:id="71" w:name="_Toc241649733"/>
      <w:r>
        <w:t>17.2.7 Risk, Governance and Human Oversight Considerations</w:t>
      </w:r>
      <w:bookmarkEnd w:id="71"/>
    </w:p>
    <w:p w14:paraId="19E8D662" w14:textId="77777777" w:rsidR="007355C5" w:rsidRDefault="00AC17C1">
      <w:pPr>
        <w:pStyle w:val="ListParagraph"/>
        <w:numPr>
          <w:ilvl w:val="0"/>
          <w:numId w:val="2"/>
        </w:numPr>
        <w:spacing w:after="80"/>
      </w:pPr>
      <w:r>
        <w:rPr>
          <w:b/>
          <w:bCs/>
        </w:rPr>
        <w:t xml:space="preserve">Risk tier: </w:t>
      </w:r>
      <w:r>
        <w:t>Conversational AI that only informs or self-serves is generally Tier 2 under the Risk-Tiering Rubric (Section 7.6); any capability that autonomously executes a financial transaction (e.g., moving funds, changing a credit limit) elevates that specific action to Tier 1 and requires Council approval.</w:t>
      </w:r>
    </w:p>
    <w:p w14:paraId="14753DDA" w14:textId="77777777" w:rsidR="007355C5" w:rsidRDefault="00AC17C1">
      <w:pPr>
        <w:pStyle w:val="ListParagraph"/>
        <w:numPr>
          <w:ilvl w:val="0"/>
          <w:numId w:val="2"/>
        </w:numPr>
        <w:spacing w:after="80"/>
      </w:pPr>
      <w:r>
        <w:rPr>
          <w:b/>
          <w:bCs/>
        </w:rPr>
        <w:t xml:space="preserve">Human-in-the-loop required: </w:t>
      </w:r>
      <w:r>
        <w:t>Complex, emotionally sensitive, hardship-related, or clearly regulated conversations (e.g., credit or investment advice) must escalate to a qualified human agent, consistent with Section 11 (Human Oversight).</w:t>
      </w:r>
    </w:p>
    <w:p w14:paraId="70D29C46" w14:textId="77777777" w:rsidR="007355C5" w:rsidRDefault="00AC17C1">
      <w:pPr>
        <w:pStyle w:val="ListParagraph"/>
        <w:numPr>
          <w:ilvl w:val="0"/>
          <w:numId w:val="2"/>
        </w:numPr>
        <w:spacing w:after="80"/>
      </w:pPr>
      <w:r>
        <w:rPr>
          <w:b/>
          <w:bCs/>
        </w:rPr>
        <w:t xml:space="preserve">Disclosure: </w:t>
      </w:r>
      <w:r>
        <w:t>Customers should be able to easily tell when they are interacting with an AI agent versus a human, and how to reach a human at any time.</w:t>
      </w:r>
    </w:p>
    <w:p w14:paraId="5AC21F97" w14:textId="77777777" w:rsidR="007355C5" w:rsidRDefault="00AC17C1">
      <w:pPr>
        <w:pStyle w:val="ListParagraph"/>
        <w:numPr>
          <w:ilvl w:val="0"/>
          <w:numId w:val="2"/>
        </w:numPr>
        <w:spacing w:after="80"/>
      </w:pPr>
      <w:r>
        <w:rPr>
          <w:b/>
          <w:bCs/>
        </w:rPr>
        <w:t xml:space="preserve">Fair treatment and accessibility: </w:t>
      </w:r>
      <w:r>
        <w:t>Response quality should be tested for consistency across languages, channels, and customer segments, and virtual agents should meet accessibility standards (e.g., WCAG) for customers using assistive technology.</w:t>
      </w:r>
    </w:p>
    <w:p w14:paraId="6442CEED" w14:textId="77777777" w:rsidR="007355C5" w:rsidRDefault="00AC17C1">
      <w:pPr>
        <w:pStyle w:val="ListParagraph"/>
        <w:numPr>
          <w:ilvl w:val="0"/>
          <w:numId w:val="2"/>
        </w:numPr>
        <w:spacing w:after="80"/>
      </w:pPr>
      <w:r>
        <w:rPr>
          <w:b/>
          <w:bCs/>
        </w:rPr>
        <w:t xml:space="preserve">Privacy: </w:t>
      </w:r>
      <w:r>
        <w:t>Recording, transcription, and use of conversation data for AI training or personalization must have a clear legal basis and be consistent with Sections 9 and 10 (Data Privacy; Regulatory Map).</w:t>
      </w:r>
    </w:p>
    <w:p w14:paraId="72094997" w14:textId="77777777" w:rsidR="007355C5" w:rsidRDefault="00AC17C1">
      <w:pPr>
        <w:pStyle w:val="ListParagraph"/>
        <w:numPr>
          <w:ilvl w:val="0"/>
          <w:numId w:val="2"/>
        </w:numPr>
        <w:spacing w:after="80"/>
      </w:pPr>
      <w:r>
        <w:rPr>
          <w:b/>
          <w:bCs/>
        </w:rPr>
        <w:t xml:space="preserve">Inventory and monitoring: </w:t>
      </w:r>
      <w:r>
        <w:t>Every conversational AI deployment is registered in the AI/Model Inventory (Section 7.5) with defined escalation triggers and monitored per Section 16.</w:t>
      </w:r>
    </w:p>
    <w:p w14:paraId="69590A7B" w14:textId="77777777" w:rsidR="007355C5" w:rsidRDefault="00AC17C1">
      <w:pPr>
        <w:pStyle w:val="Heading3"/>
      </w:pPr>
      <w:bookmarkStart w:id="72" w:name="_Toc241649734"/>
      <w:r>
        <w:t>17.2.8 Success Metrics (KPIs)</w:t>
      </w:r>
      <w:bookmarkEnd w:id="72"/>
    </w:p>
    <w:p w14:paraId="17F40ECA" w14:textId="77777777" w:rsidR="007355C5" w:rsidRDefault="00AC17C1">
      <w:pPr>
        <w:pStyle w:val="ListParagraph"/>
        <w:numPr>
          <w:ilvl w:val="0"/>
          <w:numId w:val="2"/>
        </w:numPr>
        <w:spacing w:after="80"/>
      </w:pPr>
      <w:r>
        <w:lastRenderedPageBreak/>
        <w:t>First-contact resolution rate and average handle time.</w:t>
      </w:r>
    </w:p>
    <w:p w14:paraId="08E829C3" w14:textId="77777777" w:rsidR="007355C5" w:rsidRDefault="00AC17C1">
      <w:pPr>
        <w:pStyle w:val="ListParagraph"/>
        <w:numPr>
          <w:ilvl w:val="0"/>
          <w:numId w:val="2"/>
        </w:numPr>
        <w:spacing w:after="80"/>
      </w:pPr>
      <w:r>
        <w:t>Self-service deflection rate (share of interactions fully resolved without a human agent).</w:t>
      </w:r>
    </w:p>
    <w:p w14:paraId="4D96D12A" w14:textId="77777777" w:rsidR="007355C5" w:rsidRDefault="00AC17C1">
      <w:pPr>
        <w:pStyle w:val="ListParagraph"/>
        <w:numPr>
          <w:ilvl w:val="0"/>
          <w:numId w:val="2"/>
        </w:numPr>
        <w:spacing w:after="80"/>
      </w:pPr>
      <w:r>
        <w:t>Customer satisfaction (CSAT) and Net Promoter Score (NPS).</w:t>
      </w:r>
    </w:p>
    <w:p w14:paraId="2DE3225C" w14:textId="77777777" w:rsidR="007355C5" w:rsidRDefault="00AC17C1">
      <w:pPr>
        <w:pStyle w:val="ListParagraph"/>
        <w:numPr>
          <w:ilvl w:val="0"/>
          <w:numId w:val="2"/>
        </w:numPr>
        <w:spacing w:after="80"/>
      </w:pPr>
      <w:r>
        <w:t>Escalation and complaint rate for AI-initiated interactions.</w:t>
      </w:r>
    </w:p>
    <w:p w14:paraId="7DA9DEB0" w14:textId="77777777" w:rsidR="007355C5" w:rsidRDefault="00AC17C1">
      <w:pPr>
        <w:pStyle w:val="ListParagraph"/>
        <w:numPr>
          <w:ilvl w:val="0"/>
          <w:numId w:val="2"/>
        </w:numPr>
        <w:spacing w:after="80"/>
      </w:pPr>
      <w:r>
        <w:t>Agent productivity and attrition.</w:t>
      </w:r>
    </w:p>
    <w:p w14:paraId="78D0F9C6" w14:textId="77777777" w:rsidR="007355C5" w:rsidRDefault="00AC17C1">
      <w:pPr>
        <w:pStyle w:val="ListParagraph"/>
        <w:numPr>
          <w:ilvl w:val="0"/>
          <w:numId w:val="2"/>
        </w:numPr>
        <w:spacing w:after="80"/>
      </w:pPr>
      <w:r>
        <w:t>Next-best-offer acceptance rate and related revenue lift.</w:t>
      </w:r>
    </w:p>
    <w:p w14:paraId="040B1A3E" w14:textId="77777777" w:rsidR="007355C5" w:rsidRDefault="00AC17C1">
      <w:pPr>
        <w:pStyle w:val="Heading3"/>
      </w:pPr>
      <w:bookmarkStart w:id="73" w:name="_Toc241649735"/>
      <w:r>
        <w:t>17.2.9 Sample Business Case Outline</w:t>
      </w:r>
      <w:bookmarkEnd w:id="73"/>
    </w:p>
    <w:p w14:paraId="38FA72FF" w14:textId="77777777" w:rsidR="007355C5" w:rsidRDefault="00AC17C1">
      <w:pPr>
        <w:spacing w:after="160"/>
      </w:pPr>
      <w:r>
        <w:t>Following the same reusable template introduced in Section 17.1.9:</w:t>
      </w:r>
    </w:p>
    <w:p w14:paraId="7B1A7C7F" w14:textId="77777777" w:rsidR="007355C5" w:rsidRDefault="00AC17C1">
      <w:pPr>
        <w:pStyle w:val="ListParagraph"/>
        <w:numPr>
          <w:ilvl w:val="0"/>
          <w:numId w:val="2"/>
        </w:numPr>
        <w:spacing w:after="80"/>
      </w:pPr>
      <w:r>
        <w:rPr>
          <w:b/>
          <w:bCs/>
        </w:rPr>
        <w:t xml:space="preserve">Problem statement: </w:t>
      </w:r>
      <w:r>
        <w:t>Current-state contact volume, average handle time, and cost-to-serve by channel.</w:t>
      </w:r>
    </w:p>
    <w:p w14:paraId="42270880" w14:textId="77777777" w:rsidR="007355C5" w:rsidRDefault="00AC17C1">
      <w:pPr>
        <w:pStyle w:val="ListParagraph"/>
        <w:numPr>
          <w:ilvl w:val="0"/>
          <w:numId w:val="2"/>
        </w:numPr>
        <w:spacing w:after="80"/>
      </w:pPr>
      <w:r>
        <w:rPr>
          <w:b/>
          <w:bCs/>
        </w:rPr>
        <w:t xml:space="preserve">Target state: </w:t>
      </w:r>
      <w:r>
        <w:t>Expected self-service deflection rate, handle-time reduction, and CSAT improvement.</w:t>
      </w:r>
    </w:p>
    <w:p w14:paraId="6E7DF3C9" w14:textId="77777777" w:rsidR="007355C5" w:rsidRDefault="00AC17C1">
      <w:pPr>
        <w:pStyle w:val="ListParagraph"/>
        <w:numPr>
          <w:ilvl w:val="0"/>
          <w:numId w:val="2"/>
        </w:numPr>
        <w:spacing w:after="80"/>
      </w:pPr>
      <w:r>
        <w:rPr>
          <w:b/>
          <w:bCs/>
        </w:rPr>
        <w:t xml:space="preserve">Investment ask: </w:t>
      </w:r>
      <w:r>
        <w:t>Platform, model/content development, integration, and change-management costs.</w:t>
      </w:r>
    </w:p>
    <w:p w14:paraId="70FE4553" w14:textId="77777777" w:rsidR="007355C5" w:rsidRDefault="00AC17C1">
      <w:pPr>
        <w:pStyle w:val="ListParagraph"/>
        <w:numPr>
          <w:ilvl w:val="0"/>
          <w:numId w:val="2"/>
        </w:numPr>
        <w:spacing w:after="80"/>
      </w:pPr>
      <w:r>
        <w:rPr>
          <w:b/>
          <w:bCs/>
        </w:rPr>
        <w:t xml:space="preserve">Timeline: </w:t>
      </w:r>
      <w:r>
        <w:t>Aligned to the phased deployment approach in Section 5.3 (pilot, scale, industrialize).</w:t>
      </w:r>
    </w:p>
    <w:p w14:paraId="65B68327" w14:textId="77777777" w:rsidR="007355C5" w:rsidRDefault="00AC17C1">
      <w:pPr>
        <w:pStyle w:val="ListParagraph"/>
        <w:numPr>
          <w:ilvl w:val="0"/>
          <w:numId w:val="2"/>
        </w:numPr>
        <w:spacing w:after="80"/>
      </w:pPr>
      <w:r>
        <w:rPr>
          <w:b/>
          <w:bCs/>
        </w:rPr>
        <w:t xml:space="preserve">Owner and sponsor: </w:t>
      </w:r>
      <w:r>
        <w:t>Accountable business owner and executive sponsor, per the RACI in Section 5.5.</w:t>
      </w:r>
    </w:p>
    <w:p w14:paraId="25D24EB4" w14:textId="77777777" w:rsidR="007355C5" w:rsidRDefault="00AC17C1">
      <w:pPr>
        <w:pBdr>
          <w:left w:val="single" w:sz="12" w:space="8" w:color="B00020"/>
        </w:pBdr>
        <w:spacing w:before="80" w:after="200"/>
        <w:ind w:left="200"/>
      </w:pPr>
      <w:r>
        <w:rPr>
          <w:i/>
          <w:iCs/>
          <w:color w:val="B00020"/>
        </w:rPr>
        <w:t>[PLACEHOLDER — Institution-specific baseline metrics, investment figures, and timeline for the Customer Service &amp; Engagement business case]</w:t>
      </w:r>
    </w:p>
    <w:p w14:paraId="10221993" w14:textId="77777777" w:rsidR="007355C5" w:rsidRDefault="00AC17C1">
      <w:pPr>
        <w:pStyle w:val="Heading2"/>
      </w:pPr>
      <w:bookmarkStart w:id="74" w:name="_Toc241649736"/>
      <w:r>
        <w:t>17.3 Deep Dive: Credit Risk &amp; Underwriting</w:t>
      </w:r>
      <w:bookmarkEnd w:id="74"/>
    </w:p>
    <w:p w14:paraId="073BC923" w14:textId="77777777" w:rsidR="007355C5" w:rsidRDefault="00AC17C1">
      <w:pPr>
        <w:pStyle w:val="Heading3"/>
      </w:pPr>
      <w:bookmarkStart w:id="75" w:name="_Toc241649737"/>
      <w:r>
        <w:t>17.3.1 The Problem</w:t>
      </w:r>
      <w:bookmarkEnd w:id="75"/>
    </w:p>
    <w:p w14:paraId="1BA0080D" w14:textId="77777777" w:rsidR="007355C5" w:rsidRDefault="00AC17C1">
      <w:pPr>
        <w:spacing w:after="160"/>
      </w:pPr>
      <w:r>
        <w:t>Credit decisioning sits at the core of a bank's risk-return profile, but most institutions still run it on static scorecards and manual processes that struggle to keep pace with customer expectations, competitive pressure, and regulatory scrutiny:</w:t>
      </w:r>
    </w:p>
    <w:p w14:paraId="6561A75F" w14:textId="77777777" w:rsidR="007355C5" w:rsidRDefault="00AC17C1">
      <w:pPr>
        <w:pStyle w:val="ListParagraph"/>
        <w:numPr>
          <w:ilvl w:val="0"/>
          <w:numId w:val="2"/>
        </w:numPr>
        <w:spacing w:after="80"/>
      </w:pPr>
      <w:r>
        <w:rPr>
          <w:b/>
          <w:bCs/>
        </w:rPr>
        <w:t xml:space="preserve">Slow, manual underwriting: </w:t>
      </w:r>
      <w:r>
        <w:t>Complex facilities (commercial credit, large mortgages) can take days to weeks, as underwriters manually read financial statements, spread ratios, and assemble credit memos.</w:t>
      </w:r>
    </w:p>
    <w:p w14:paraId="6E5EE0BE" w14:textId="77777777" w:rsidR="007355C5" w:rsidRDefault="00AC17C1">
      <w:pPr>
        <w:pStyle w:val="ListParagraph"/>
        <w:numPr>
          <w:ilvl w:val="0"/>
          <w:numId w:val="2"/>
        </w:numPr>
        <w:spacing w:after="80"/>
      </w:pPr>
      <w:r>
        <w:rPr>
          <w:b/>
          <w:bCs/>
        </w:rPr>
        <w:t xml:space="preserve">Limited, static risk signals: </w:t>
      </w:r>
      <w:r>
        <w:t>Traditional scorecards built on bureau data alone miss forward-looking or thin-file signals that could improve both approval rates and risk accuracy.</w:t>
      </w:r>
    </w:p>
    <w:p w14:paraId="48E0D52E" w14:textId="77777777" w:rsidR="007355C5" w:rsidRDefault="00AC17C1">
      <w:pPr>
        <w:pStyle w:val="ListParagraph"/>
        <w:numPr>
          <w:ilvl w:val="0"/>
          <w:numId w:val="2"/>
        </w:numPr>
        <w:spacing w:after="80"/>
      </w:pPr>
      <w:r>
        <w:rPr>
          <w:b/>
          <w:bCs/>
        </w:rPr>
        <w:t xml:space="preserve">Inconsistent decisioning: </w:t>
      </w:r>
      <w:r>
        <w:t>Judgment-heavy processes can produce different outcomes for similar risk profiles across underwriters, channels, or regions.</w:t>
      </w:r>
    </w:p>
    <w:p w14:paraId="745F1ECC" w14:textId="77777777" w:rsidR="007355C5" w:rsidRDefault="00AC17C1">
      <w:pPr>
        <w:pStyle w:val="ListParagraph"/>
        <w:numPr>
          <w:ilvl w:val="0"/>
          <w:numId w:val="2"/>
        </w:numPr>
        <w:spacing w:after="80"/>
      </w:pPr>
      <w:r>
        <w:rPr>
          <w:b/>
          <w:bCs/>
        </w:rPr>
        <w:t xml:space="preserve">Fair-lending exposure: </w:t>
      </w:r>
      <w:r>
        <w:t>Opaque models or inconsistent overrides create real regulatory and reputational risk if decisions cannot be explained and shown to be non-discriminatory.</w:t>
      </w:r>
    </w:p>
    <w:p w14:paraId="002D7731" w14:textId="77777777" w:rsidR="007355C5" w:rsidRDefault="00AC17C1">
      <w:pPr>
        <w:pStyle w:val="ListParagraph"/>
        <w:numPr>
          <w:ilvl w:val="0"/>
          <w:numId w:val="2"/>
        </w:numPr>
        <w:spacing w:after="80"/>
      </w:pPr>
      <w:r>
        <w:rPr>
          <w:b/>
          <w:bCs/>
        </w:rPr>
        <w:t xml:space="preserve">Lagging portfolio visibility: </w:t>
      </w:r>
      <w:r>
        <w:t>Risk migration in the existing book is often detected only at the next periodic review, after losses have already begun to build.</w:t>
      </w:r>
    </w:p>
    <w:p w14:paraId="6B4248AC" w14:textId="77777777" w:rsidR="007355C5" w:rsidRDefault="00AC17C1">
      <w:pPr>
        <w:pStyle w:val="ListParagraph"/>
        <w:numPr>
          <w:ilvl w:val="0"/>
          <w:numId w:val="2"/>
        </w:numPr>
        <w:spacing w:after="80"/>
      </w:pPr>
      <w:r>
        <w:rPr>
          <w:b/>
          <w:bCs/>
        </w:rPr>
        <w:t xml:space="preserve">Heavy stress-testing and capital workload: </w:t>
      </w:r>
      <w:r>
        <w:t>Regulatory stress testing and capital calculations are compute- and data-intensive, and slow turnaround limits how often scenarios can be refreshed.</w:t>
      </w:r>
    </w:p>
    <w:p w14:paraId="68EADF53" w14:textId="77777777" w:rsidR="007355C5" w:rsidRDefault="00AC17C1">
      <w:pPr>
        <w:pStyle w:val="Heading3"/>
      </w:pPr>
      <w:bookmarkStart w:id="76" w:name="_Toc241649738"/>
      <w:r>
        <w:lastRenderedPageBreak/>
        <w:t>17.3.2 How Microsoft Azure and Azure AI Can Help</w:t>
      </w:r>
      <w:bookmarkEnd w:id="76"/>
    </w:p>
    <w:p w14:paraId="15867083" w14:textId="77777777" w:rsidR="007355C5" w:rsidRDefault="00AC17C1">
      <w:pPr>
        <w:spacing w:after="160"/>
      </w:pPr>
      <w:r>
        <w:t>Azure lets a bank augment — not replace — its credit judgment with faster, more accurate, and fully explainable risk assessment, while keeping model governance and human authority over lending decisions front and center:</w:t>
      </w:r>
    </w:p>
    <w:p w14:paraId="619700A5" w14:textId="77777777" w:rsidR="007355C5" w:rsidRDefault="00AC17C1">
      <w:pPr>
        <w:pStyle w:val="ListParagraph"/>
        <w:numPr>
          <w:ilvl w:val="0"/>
          <w:numId w:val="2"/>
        </w:numPr>
        <w:spacing w:after="80"/>
      </w:pPr>
      <w:r>
        <w:rPr>
          <w:b/>
          <w:bCs/>
        </w:rPr>
        <w:t xml:space="preserve">Richer, more accurate risk signals: </w:t>
      </w:r>
      <w:r>
        <w:t>Custom machine learning models can responsibly incorporate additional behavioral and cash-flow signals alongside bureau data, subject to consent, fairness testing, and regulatory permissibility.</w:t>
      </w:r>
    </w:p>
    <w:p w14:paraId="7900967A" w14:textId="77777777" w:rsidR="007355C5" w:rsidRDefault="00AC17C1">
      <w:pPr>
        <w:pStyle w:val="ListParagraph"/>
        <w:numPr>
          <w:ilvl w:val="0"/>
          <w:numId w:val="2"/>
        </w:numPr>
        <w:spacing w:after="80"/>
      </w:pPr>
      <w:r>
        <w:rPr>
          <w:b/>
          <w:bCs/>
        </w:rPr>
        <w:t xml:space="preserve">Explainability built in, not bolted on: </w:t>
      </w:r>
      <w:r>
        <w:t>Interpretability and fairness tooling generates the reason codes needed for adverse action notices and fair-lending review as part of the model pipeline, not as an afterthought.</w:t>
      </w:r>
    </w:p>
    <w:p w14:paraId="2699ACAD" w14:textId="77777777" w:rsidR="007355C5" w:rsidRDefault="00AC17C1">
      <w:pPr>
        <w:pStyle w:val="ListParagraph"/>
        <w:numPr>
          <w:ilvl w:val="0"/>
          <w:numId w:val="2"/>
        </w:numPr>
        <w:spacing w:after="80"/>
      </w:pPr>
      <w:r>
        <w:rPr>
          <w:b/>
          <w:bCs/>
        </w:rPr>
        <w:t xml:space="preserve">Faster underwriting without cutting corners: </w:t>
      </w:r>
      <w:r>
        <w:t>Intelligent document processing extracts data from financial statements and tax documents in minutes, and a generative AI copilot drafts a first-pass credit memo for the underwriter to review, challenge, and finalize.</w:t>
      </w:r>
    </w:p>
    <w:p w14:paraId="7082211E" w14:textId="77777777" w:rsidR="007355C5" w:rsidRDefault="00AC17C1">
      <w:pPr>
        <w:pStyle w:val="ListParagraph"/>
        <w:numPr>
          <w:ilvl w:val="0"/>
          <w:numId w:val="2"/>
        </w:numPr>
        <w:spacing w:after="80"/>
      </w:pPr>
      <w:r>
        <w:rPr>
          <w:b/>
          <w:bCs/>
        </w:rPr>
        <w:t xml:space="preserve">Earlier portfolio warning signals: </w:t>
      </w:r>
      <w:r>
        <w:t>Continuous rescoring of the existing book surfaces risk migration and early-warning indicators well before the next scheduled review.</w:t>
      </w:r>
    </w:p>
    <w:p w14:paraId="4B3D658C" w14:textId="77777777" w:rsidR="007355C5" w:rsidRDefault="00AC17C1">
      <w:pPr>
        <w:pStyle w:val="ListParagraph"/>
        <w:numPr>
          <w:ilvl w:val="0"/>
          <w:numId w:val="2"/>
        </w:numPr>
        <w:spacing w:after="80"/>
      </w:pPr>
      <w:r>
        <w:rPr>
          <w:b/>
          <w:bCs/>
        </w:rPr>
        <w:t xml:space="preserve">Faster scenario and stress testing: </w:t>
      </w:r>
      <w:r>
        <w:t>Cloud-scale compute and a unified data estate shorten the cycle time for running additional stress scenarios and capital calculations.</w:t>
      </w:r>
    </w:p>
    <w:p w14:paraId="0D6D8A33" w14:textId="77777777" w:rsidR="007355C5" w:rsidRDefault="00AC17C1">
      <w:pPr>
        <w:pStyle w:val="ListParagraph"/>
        <w:numPr>
          <w:ilvl w:val="0"/>
          <w:numId w:val="2"/>
        </w:numPr>
        <w:spacing w:after="80"/>
      </w:pPr>
      <w:r>
        <w:rPr>
          <w:b/>
          <w:bCs/>
        </w:rPr>
        <w:t xml:space="preserve">Governed like every other Tier 1 use case: </w:t>
      </w:r>
      <w:r>
        <w:t>Credit models are registered in the AI/Model Inventory, independently validated, and subject to the same model risk management standards as the rest of the AI program (Sections 7.4–7.6, 10).</w:t>
      </w:r>
    </w:p>
    <w:p w14:paraId="3E5B6DF1" w14:textId="77777777" w:rsidR="007355C5" w:rsidRDefault="00AC17C1">
      <w:pPr>
        <w:pStyle w:val="Heading3"/>
      </w:pPr>
      <w:bookmarkStart w:id="77" w:name="_Toc241649739"/>
      <w:r>
        <w:t>17.3.3 Specific Azure and Microsoft Products</w:t>
      </w:r>
      <w:bookmarkEnd w:id="77"/>
    </w:p>
    <w:p w14:paraId="54957EDB" w14:textId="77777777" w:rsidR="007355C5" w:rsidRDefault="00AC17C1">
      <w:pPr>
        <w:spacing w:after="160"/>
      </w:pPr>
      <w:r>
        <w:t>The following Azure and Microsoft products map to the capabilities most relevant to credit risk and underwriting: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0"/>
        <w:gridCol w:w="3060"/>
        <w:gridCol w:w="3950"/>
      </w:tblGrid>
      <w:tr w:rsidR="007355C5" w14:paraId="6B028FFE" w14:textId="77777777">
        <w:trPr>
          <w:tblHeader/>
        </w:trPr>
        <w:tc>
          <w:tcPr>
            <w:tcW w:w="23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6307C44" w14:textId="77777777" w:rsidR="007355C5" w:rsidRDefault="00AC17C1">
            <w:r>
              <w:rPr>
                <w:b/>
                <w:bCs/>
                <w:color w:val="FFFFFF"/>
              </w:rPr>
              <w:t>Capability</w:t>
            </w:r>
          </w:p>
        </w:tc>
        <w:tc>
          <w:tcPr>
            <w:tcW w:w="30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D1BF4FA" w14:textId="77777777" w:rsidR="007355C5" w:rsidRDefault="00AC17C1">
            <w:r>
              <w:rPr>
                <w:b/>
                <w:bCs/>
                <w:color w:val="FFFFFF"/>
              </w:rPr>
              <w:t>Azure / Microsoft Product</w:t>
            </w:r>
          </w:p>
        </w:tc>
        <w:tc>
          <w:tcPr>
            <w:tcW w:w="39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491DE1C" w14:textId="77777777" w:rsidR="007355C5" w:rsidRDefault="00AC17C1">
            <w:r>
              <w:rPr>
                <w:b/>
                <w:bCs/>
                <w:color w:val="FFFFFF"/>
              </w:rPr>
              <w:t>Role</w:t>
            </w:r>
          </w:p>
        </w:tc>
      </w:tr>
      <w:tr w:rsidR="007355C5" w14:paraId="5BC8E69F"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5AE979" w14:textId="77777777" w:rsidR="007355C5" w:rsidRDefault="00AC17C1">
            <w:r>
              <w:t>Custom credit scoring / PD models</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BBBDDF" w14:textId="77777777" w:rsidR="007355C5" w:rsidRDefault="00AC17C1">
            <w:r>
              <w:t>Azure Machine Learning; Azure AI Foundry</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6FD19B" w14:textId="77777777" w:rsidR="007355C5" w:rsidRDefault="00AC17C1">
            <w:r>
              <w:t>Build, train, validate, and deploy custom scorecards and probability-of-default models tuned to the bank's own portfolio and risk appetite.</w:t>
            </w:r>
          </w:p>
        </w:tc>
      </w:tr>
      <w:tr w:rsidR="007355C5" w14:paraId="0C3AB81A"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444E42" w14:textId="77777777" w:rsidR="007355C5" w:rsidRDefault="00AC17C1">
            <w:r>
              <w:t>Explainability and fairness testing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87B146A" w14:textId="77777777" w:rsidR="007355C5" w:rsidRDefault="00AC17C1">
            <w:r>
              <w:t>Azure Machine Learning Responsible AI dashboard</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CB0990" w14:textId="77777777" w:rsidR="007355C5" w:rsidRDefault="00AC17C1">
            <w:r>
              <w:t>Produce feature-attribution and explainability output that feeds a separately validated reason-code mapping and notice-generation control, and run disparate-impact/fairness analysis before and after deployment. The dashboard supports, but does not by itself constitute, a compliant adverse-action notice.</w:t>
            </w:r>
          </w:p>
        </w:tc>
      </w:tr>
      <w:tr w:rsidR="007355C5" w14:paraId="102CC8E5"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B5684E" w14:textId="77777777" w:rsidR="007355C5" w:rsidRDefault="00AC17C1">
            <w:r>
              <w:t>Financial document extraction</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6F4E48" w14:textId="77777777" w:rsidR="007355C5" w:rsidRDefault="00AC17C1">
            <w:r>
              <w:t>Azure AI Document Intelligence</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61AE0BF" w14:textId="77777777" w:rsidR="007355C5" w:rsidRDefault="00AC17C1">
            <w:r>
              <w:t>Extract structured data from financial statements, tax returns, pay stubs, and bank statements to speed underwriting packages.</w:t>
            </w:r>
          </w:p>
        </w:tc>
      </w:tr>
      <w:tr w:rsidR="007355C5" w14:paraId="6FA096C1"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23B3F0" w14:textId="77777777" w:rsidR="007355C5" w:rsidRDefault="00AC17C1">
            <w:r>
              <w:lastRenderedPageBreak/>
              <w:t>Underwriting / credit memo copilot</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BAC13F" w14:textId="77777777" w:rsidR="007355C5" w:rsidRDefault="00AC17C1">
            <w:r>
              <w:t>Azure OpenAI Service; Azure AI Foundry Agent Service</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4947D88" w14:textId="77777777" w:rsidR="007355C5" w:rsidRDefault="00AC17C1">
            <w:r>
              <w:t>Draft a first-pass credit memo summarizing financials, ratios, and covenant exceptions for the underwriter's review and final judgment.</w:t>
            </w:r>
          </w:p>
        </w:tc>
      </w:tr>
      <w:tr w:rsidR="007355C5" w14:paraId="2768045E"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C46DD5" w14:textId="77777777" w:rsidR="007355C5" w:rsidRDefault="00AC17C1">
            <w:r>
              <w:t>Unified risk data &amp;amp; feature store</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B6912B" w14:textId="77777777" w:rsidR="007355C5" w:rsidRDefault="00AC17C1">
            <w:r>
              <w:t>Microsoft Fabric</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6EC0427" w14:textId="77777777" w:rsidR="007355C5" w:rsidRDefault="00AC17C1">
            <w:r>
              <w:t>Combine bureau, behavioral, and alternative data into a governed feature store used consistently across models.</w:t>
            </w:r>
          </w:p>
        </w:tc>
      </w:tr>
      <w:tr w:rsidR="007355C5" w14:paraId="04CC67A8"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7C4677" w14:textId="77777777" w:rsidR="007355C5" w:rsidRDefault="00AC17C1">
            <w:r>
              <w:t>Portfolio monitoring &amp;amp; early warning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A8258A" w14:textId="77777777" w:rsidR="007355C5" w:rsidRDefault="00AC17C1">
            <w:r>
              <w:t>Microsoft Fabric; Power BI</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B4DE9A" w14:textId="77777777" w:rsidR="007355C5" w:rsidRDefault="00AC17C1">
            <w:r>
              <w:t>Continuously rescore the existing book and surface risk migration and early-warning indicators to risk teams.</w:t>
            </w:r>
          </w:p>
        </w:tc>
      </w:tr>
      <w:tr w:rsidR="007355C5" w14:paraId="505F5075"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0B143DE" w14:textId="77777777" w:rsidR="007355C5" w:rsidRDefault="00AC17C1">
            <w:r>
              <w:t>Stress testing &amp;amp; scenario analysis</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855918" w14:textId="77777777" w:rsidR="007355C5" w:rsidRDefault="00AC17C1">
            <w:r>
              <w:t>Microsoft Fabric; Azure Machine Learning</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B79F18" w14:textId="77777777" w:rsidR="007355C5" w:rsidRDefault="00AC17C1">
            <w:r>
              <w:t>Run additional capital and stress-test scenarios at cloud scale to shorten turnaround time.</w:t>
            </w:r>
          </w:p>
        </w:tc>
      </w:tr>
      <w:tr w:rsidR="007355C5" w14:paraId="398996EA"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39E7231" w14:textId="77777777" w:rsidR="007355C5" w:rsidRDefault="00AC17C1">
            <w:r>
              <w:t>Data governance &amp;amp; lineage</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8FABE7" w14:textId="77777777" w:rsidR="007355C5" w:rsidRDefault="00AC17C1">
            <w:r>
              <w:t>Microsoft Purview</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C27830" w14:textId="77777777" w:rsidR="007355C5" w:rsidRDefault="00AC17C1">
            <w:r>
              <w:t>Track lineage and classification of every data source feeding a credit model, a core requirement for model risk validation.</w:t>
            </w:r>
          </w:p>
        </w:tc>
      </w:tr>
      <w:tr w:rsidR="007355C5" w14:paraId="69195CC7"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E6F61CD" w14:textId="77777777" w:rsidR="007355C5" w:rsidRDefault="00AC17C1">
            <w:r>
              <w:t>Access control for sensitive credit data</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07EAA9" w14:textId="77777777" w:rsidR="007355C5" w:rsidRDefault="00AC17C1">
            <w:r>
              <w:t>Microsoft Entra ID</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C23288" w14:textId="77777777" w:rsidR="007355C5" w:rsidRDefault="00AC17C1">
            <w:r>
              <w:t>Enforce least-privilege access to applicant, customer, and portfolio data used in underwriting.</w:t>
            </w:r>
          </w:p>
        </w:tc>
      </w:tr>
      <w:tr w:rsidR="007355C5" w14:paraId="682D3F6F"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D09222D" w14:textId="77777777" w:rsidR="007355C5" w:rsidRDefault="00AC17C1">
            <w:r>
              <w:t>Model governance &amp;amp; monitoring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70D0B2" w14:textId="77777777" w:rsidR="007355C5" w:rsidRDefault="00AC17C1">
            <w:r>
              <w:t>Azure AI Foundry Responsible AI dashboard; Azure Monitor</w:t>
            </w:r>
          </w:p>
        </w:tc>
        <w:tc>
          <w:tcPr>
            <w:tcW w:w="39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0306EB" w14:textId="77777777" w:rsidR="007355C5" w:rsidRDefault="00AC17C1">
            <w:r>
              <w:t>Track model performance, drift, and validation status, feeding the AI/Model Inventory (Section 7.5).</w:t>
            </w:r>
          </w:p>
        </w:tc>
      </w:tr>
    </w:tbl>
    <w:p w14:paraId="2AE76BE7" w14:textId="77777777" w:rsidR="007355C5" w:rsidRDefault="007355C5">
      <w:pPr>
        <w:spacing w:after="160"/>
      </w:pPr>
    </w:p>
    <w:p w14:paraId="0B2349F3" w14:textId="77777777" w:rsidR="007355C5" w:rsidRDefault="00AC17C1">
      <w:pPr>
        <w:pStyle w:val="Heading3"/>
      </w:pPr>
      <w:bookmarkStart w:id="78" w:name="_Toc241649740"/>
      <w:r>
        <w:t>17.3.4 Illustrative Solution Pattern</w:t>
      </w:r>
      <w:bookmarkEnd w:id="78"/>
    </w:p>
    <w:p w14:paraId="63D89843" w14:textId="77777777" w:rsidR="007355C5" w:rsidRDefault="00AC17C1">
      <w:pPr>
        <w:spacing w:after="160"/>
      </w:pPr>
      <w:r>
        <w:t>A representative end-to-end flow on Azure:</w:t>
      </w:r>
    </w:p>
    <w:p w14:paraId="075629E5" w14:textId="77777777" w:rsidR="007355C5" w:rsidRDefault="00AC17C1">
      <w:pPr>
        <w:pStyle w:val="ListParagraph"/>
        <w:numPr>
          <w:ilvl w:val="0"/>
          <w:numId w:val="3"/>
        </w:numPr>
        <w:spacing w:after="80"/>
      </w:pPr>
      <w:r>
        <w:t>Application data (financial statements, tax documents, bank statements, bureau pulls) is ingested, and Azure AI Document Intelligence extracts structured data from unstructured documents.</w:t>
      </w:r>
    </w:p>
    <w:p w14:paraId="0F91EAB8" w14:textId="77777777" w:rsidR="007355C5" w:rsidRDefault="00AC17C1">
      <w:pPr>
        <w:pStyle w:val="ListParagraph"/>
        <w:numPr>
          <w:ilvl w:val="0"/>
          <w:numId w:val="3"/>
        </w:numPr>
        <w:spacing w:after="80"/>
      </w:pPr>
      <w:r>
        <w:t>Bureau, behavioral, and alternative data are combined into a governed feature store in Microsoft Fabric, with lineage tracked in Microsoft Purview.</w:t>
      </w:r>
    </w:p>
    <w:p w14:paraId="6BE654FB" w14:textId="77777777" w:rsidR="007355C5" w:rsidRDefault="00AC17C1">
      <w:pPr>
        <w:pStyle w:val="ListParagraph"/>
        <w:numPr>
          <w:ilvl w:val="0"/>
          <w:numId w:val="3"/>
        </w:numPr>
        <w:spacing w:after="80"/>
      </w:pPr>
      <w:r>
        <w:t>A custom scorecard / probability-of-default model in Azure Machine Learning generates a risk score, and the Azure Machine Learning Responsible AI dashboard produces feature-attribution and explainability output as supporting evidence; a separately validated reason-code mapping and notice-generation control, reviewed by legal/compliance, translates that evidence into the actual adverse-action notice.</w:t>
      </w:r>
    </w:p>
    <w:p w14:paraId="7E570D9A" w14:textId="77777777" w:rsidR="007355C5" w:rsidRDefault="00AC17C1">
      <w:pPr>
        <w:pStyle w:val="ListParagraph"/>
        <w:numPr>
          <w:ilvl w:val="0"/>
          <w:numId w:val="3"/>
        </w:numPr>
        <w:spacing w:after="80"/>
      </w:pPr>
      <w:r>
        <w:t>For complex or high-value facilities, an underwriting copilot (Azure OpenAI Service / Azure AI Foundry Agent Service) drafts a credit memo summarizing financials, ratios, and covenant exceptions for the underwriter to review, challenge, and finalize.</w:t>
      </w:r>
    </w:p>
    <w:p w14:paraId="6CB1C6DA" w14:textId="77777777" w:rsidR="007355C5" w:rsidRDefault="00AC17C1">
      <w:pPr>
        <w:pStyle w:val="ListParagraph"/>
        <w:numPr>
          <w:ilvl w:val="0"/>
          <w:numId w:val="3"/>
        </w:numPr>
        <w:spacing w:after="80"/>
      </w:pPr>
      <w:r>
        <w:lastRenderedPageBreak/>
        <w:t>The decision is routed for approval based on the applicable risk tier and delegated lending authority; large or high-risk exposures require a named human decision-maker (Sections 7.6, 11).</w:t>
      </w:r>
    </w:p>
    <w:p w14:paraId="7B268769" w14:textId="77777777" w:rsidR="007355C5" w:rsidRDefault="00AC17C1">
      <w:pPr>
        <w:pStyle w:val="ListParagraph"/>
        <w:numPr>
          <w:ilvl w:val="0"/>
          <w:numId w:val="3"/>
        </w:numPr>
        <w:spacing w:after="80"/>
      </w:pPr>
      <w:r>
        <w:t>After booking, the account is continuously rescored, with Microsoft Fabric and Power BI surfacing early-warning risk-migration signals to portfolio risk teams.</w:t>
      </w:r>
    </w:p>
    <w:p w14:paraId="1025CED8" w14:textId="77777777" w:rsidR="007355C5" w:rsidRDefault="00AC17C1">
      <w:pPr>
        <w:pStyle w:val="ListParagraph"/>
        <w:numPr>
          <w:ilvl w:val="0"/>
          <w:numId w:val="3"/>
        </w:numPr>
        <w:spacing w:after="80"/>
      </w:pPr>
      <w:r>
        <w:t>All models, data lineage, and validation status are recorded in the AI/Model Inventory (Section 7.5) and available for independent model validation and regulatory review (Section 10).</w:t>
      </w:r>
    </w:p>
    <w:p w14:paraId="157CE626" w14:textId="77777777" w:rsidR="007355C5" w:rsidRDefault="00AC17C1">
      <w:pPr>
        <w:pStyle w:val="Heading3"/>
      </w:pPr>
      <w:bookmarkStart w:id="79" w:name="_Toc241649741"/>
      <w:r>
        <w:t>17.3.5 Business Benefits</w:t>
      </w:r>
      <w:bookmarkEnd w:id="7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0"/>
        <w:gridCol w:w="4260"/>
        <w:gridCol w:w="2750"/>
      </w:tblGrid>
      <w:tr w:rsidR="007355C5" w14:paraId="74CEB848" w14:textId="77777777">
        <w:trPr>
          <w:tblHeader/>
        </w:trPr>
        <w:tc>
          <w:tcPr>
            <w:tcW w:w="23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39603B0" w14:textId="77777777" w:rsidR="007355C5" w:rsidRDefault="00AC17C1">
            <w:r>
              <w:rPr>
                <w:b/>
                <w:bCs/>
                <w:color w:val="FFFFFF"/>
              </w:rPr>
              <w:t>Benefit Category</w:t>
            </w:r>
          </w:p>
        </w:tc>
        <w:tc>
          <w:tcPr>
            <w:tcW w:w="42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D186681" w14:textId="77777777" w:rsidR="007355C5" w:rsidRDefault="00AC17C1">
            <w:r>
              <w:rPr>
                <w:b/>
                <w:bCs/>
                <w:color w:val="FFFFFF"/>
              </w:rPr>
              <w:t>Description</w:t>
            </w:r>
          </w:p>
        </w:tc>
        <w:tc>
          <w:tcPr>
            <w:tcW w:w="27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C214E8A" w14:textId="77777777" w:rsidR="007355C5" w:rsidRDefault="00AC17C1">
            <w:r>
              <w:rPr>
                <w:b/>
                <w:bCs/>
                <w:color w:val="FFFFFF"/>
              </w:rPr>
              <w:t>Illustrative Metric</w:t>
            </w:r>
          </w:p>
        </w:tc>
      </w:tr>
      <w:tr w:rsidR="007355C5" w14:paraId="3465F545"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9808C2E" w14:textId="77777777" w:rsidR="007355C5" w:rsidRDefault="00AC17C1">
            <w:r>
              <w:t>Faster underwriting turnaround</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8E9B74" w14:textId="77777777" w:rsidR="007355C5" w:rsidRDefault="00AC17C1">
            <w:r>
              <w:t>Document extraction and a credit-memo copilot cut the time from application to decision.</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EE6357" w14:textId="77777777" w:rsidR="007355C5" w:rsidRDefault="00AC17C1">
            <w:r>
              <w:t>Cycle time (application to decision)</w:t>
            </w:r>
          </w:p>
        </w:tc>
      </w:tr>
      <w:tr w:rsidR="007355C5" w14:paraId="5E8CB1DE"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67F2ACA" w14:textId="77777777" w:rsidR="007355C5" w:rsidRDefault="00AC17C1">
            <w:r>
              <w:t>More accurate risk assessment</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994F3E" w14:textId="77777777" w:rsidR="007355C5" w:rsidRDefault="00AC17C1">
            <w:r>
              <w:t>Richer signals and better-tuned models improve discrimination between good and bad risk.</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F81B86A" w14:textId="77777777" w:rsidR="007355C5" w:rsidRDefault="00AC17C1">
            <w:r>
              <w:t>Gini coefficient / AUC improvement versus baseline</w:t>
            </w:r>
          </w:p>
        </w:tc>
      </w:tr>
      <w:tr w:rsidR="007355C5" w14:paraId="27410206"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907920" w14:textId="77777777" w:rsidR="007355C5" w:rsidRDefault="00AC17C1">
            <w:r>
              <w:t>Consistent, explainable decisioning</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83948B" w14:textId="77777777" w:rsidR="007355C5" w:rsidRDefault="00AC17C1">
            <w:r>
              <w:t>Reason codes and standardized models reduce unexplained variation between underwriters and channels.</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E6831E" w14:textId="77777777" w:rsidR="007355C5" w:rsidRDefault="00AC17C1">
            <w:r>
              <w:t>Fair-lending audit results; reason-code accuracy</w:t>
            </w:r>
          </w:p>
        </w:tc>
      </w:tr>
      <w:tr w:rsidR="007355C5" w14:paraId="2F86A93D"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F757DB" w14:textId="77777777" w:rsidR="007355C5" w:rsidRDefault="00AC17C1">
            <w:r>
              <w:t>Earlier risk detection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F21E76" w14:textId="77777777" w:rsidR="007355C5" w:rsidRDefault="00AC17C1">
            <w:r>
              <w:t>Continuous rescoring surfaces migration before losses build.</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876DA8" w14:textId="77777777" w:rsidR="007355C5" w:rsidRDefault="00AC17C1">
            <w:r>
              <w:t>Reduction in loss given default via earlier intervention</w:t>
            </w:r>
          </w:p>
        </w:tc>
      </w:tr>
      <w:tr w:rsidR="007355C5" w14:paraId="2778B5E2"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174F84" w14:textId="77777777" w:rsidR="007355C5" w:rsidRDefault="00AC17C1">
            <w:r>
              <w:t>Underwriter productivity</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5526A4D" w14:textId="77777777" w:rsidR="007355C5" w:rsidRDefault="00AC17C1">
            <w:r>
              <w:t>Automated extraction and drafting free underwriters to focus on judgment, not data assembly.</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C4BC4D" w14:textId="77777777" w:rsidR="007355C5" w:rsidRDefault="00AC17C1">
            <w:r>
              <w:t>Cases reviewed per underwriter per week</w:t>
            </w:r>
          </w:p>
        </w:tc>
      </w:tr>
      <w:tr w:rsidR="007355C5" w14:paraId="637CAC66"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E665C2" w14:textId="77777777" w:rsidR="007355C5" w:rsidRDefault="00AC17C1">
            <w:r>
              <w:t>Faster capital and stress testing</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DDAA855" w14:textId="77777777" w:rsidR="007355C5" w:rsidRDefault="00AC17C1">
            <w:r>
              <w:t>Cloud-scale compute shortens scenario turnaround.</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788B17" w14:textId="77777777" w:rsidR="007355C5" w:rsidRDefault="00AC17C1">
            <w:r>
              <w:t>Stress-test / scenario cycle time</w:t>
            </w:r>
          </w:p>
        </w:tc>
      </w:tr>
    </w:tbl>
    <w:p w14:paraId="40EEA3FD" w14:textId="77777777" w:rsidR="007355C5" w:rsidRDefault="007355C5">
      <w:pPr>
        <w:spacing w:after="160"/>
      </w:pPr>
    </w:p>
    <w:p w14:paraId="1E160012" w14:textId="77777777" w:rsidR="007355C5" w:rsidRDefault="00AC17C1">
      <w:pPr>
        <w:pStyle w:val="Heading3"/>
      </w:pPr>
      <w:bookmarkStart w:id="80" w:name="_Toc241649742"/>
      <w:r>
        <w:t>17.3.6 Data and Integration Requirements</w:t>
      </w:r>
      <w:bookmarkEnd w:id="80"/>
    </w:p>
    <w:p w14:paraId="4D0D803D" w14:textId="77777777" w:rsidR="007355C5" w:rsidRDefault="00AC17C1">
      <w:pPr>
        <w:pStyle w:val="ListParagraph"/>
        <w:numPr>
          <w:ilvl w:val="0"/>
          <w:numId w:val="2"/>
        </w:numPr>
        <w:spacing w:after="80"/>
      </w:pPr>
      <w:r>
        <w:t>Credit bureau data and core banking loan/account data.</w:t>
      </w:r>
    </w:p>
    <w:p w14:paraId="19FD8BDD" w14:textId="77777777" w:rsidR="007355C5" w:rsidRDefault="00AC17C1">
      <w:pPr>
        <w:pStyle w:val="ListParagraph"/>
        <w:numPr>
          <w:ilvl w:val="0"/>
          <w:numId w:val="2"/>
        </w:numPr>
        <w:spacing w:after="80"/>
      </w:pPr>
      <w:r>
        <w:t>Financial statements, tax documents, and bank statement data, collected with appropriate consent.</w:t>
      </w:r>
    </w:p>
    <w:p w14:paraId="2EEB5FBF" w14:textId="77777777" w:rsidR="007355C5" w:rsidRDefault="00AC17C1">
      <w:pPr>
        <w:pStyle w:val="ListParagraph"/>
        <w:numPr>
          <w:ilvl w:val="0"/>
          <w:numId w:val="2"/>
        </w:numPr>
        <w:spacing w:after="80"/>
      </w:pPr>
      <w:r>
        <w:t>Collateral and valuation data where applicable (mortgage, commercial lending).</w:t>
      </w:r>
    </w:p>
    <w:p w14:paraId="16C500A6" w14:textId="77777777" w:rsidR="007355C5" w:rsidRDefault="00AC17C1">
      <w:pPr>
        <w:pStyle w:val="ListParagraph"/>
        <w:numPr>
          <w:ilvl w:val="0"/>
          <w:numId w:val="2"/>
        </w:numPr>
        <w:spacing w:after="80"/>
      </w:pPr>
      <w:r>
        <w:t>Historical default and loss outcome data for model training, back-testing, and validation.</w:t>
      </w:r>
    </w:p>
    <w:p w14:paraId="1EB6A71D" w14:textId="77777777" w:rsidR="007355C5" w:rsidRDefault="00AC17C1">
      <w:pPr>
        <w:pStyle w:val="ListParagraph"/>
        <w:numPr>
          <w:ilvl w:val="0"/>
          <w:numId w:val="2"/>
        </w:numPr>
        <w:spacing w:after="80"/>
      </w:pPr>
      <w:r>
        <w:t>Alternative/behavioral data sources (e.g., cash-flow data) only where permitted by law and consented to by the customer.</w:t>
      </w:r>
    </w:p>
    <w:p w14:paraId="6035CFF6" w14:textId="77777777" w:rsidR="007355C5" w:rsidRDefault="00AC17C1">
      <w:pPr>
        <w:pStyle w:val="ListParagraph"/>
        <w:numPr>
          <w:ilvl w:val="0"/>
          <w:numId w:val="2"/>
        </w:numPr>
        <w:spacing w:after="80"/>
      </w:pPr>
      <w:r>
        <w:t>Data quality, classification, and lineage management via Microsoft Purview.</w:t>
      </w:r>
    </w:p>
    <w:p w14:paraId="0B77F4B3" w14:textId="77777777" w:rsidR="007355C5" w:rsidRDefault="00AC17C1">
      <w:pPr>
        <w:pStyle w:val="Heading3"/>
      </w:pPr>
      <w:bookmarkStart w:id="81" w:name="_Toc241649743"/>
      <w:r>
        <w:t>17.3.7 Risk, Governance and Human Oversight Considerations</w:t>
      </w:r>
      <w:bookmarkEnd w:id="81"/>
    </w:p>
    <w:p w14:paraId="13F332D3" w14:textId="77777777" w:rsidR="007355C5" w:rsidRDefault="00AC17C1">
      <w:pPr>
        <w:pStyle w:val="ListParagraph"/>
        <w:numPr>
          <w:ilvl w:val="0"/>
          <w:numId w:val="2"/>
        </w:numPr>
        <w:spacing w:after="80"/>
      </w:pPr>
      <w:r>
        <w:rPr>
          <w:b/>
          <w:bCs/>
        </w:rPr>
        <w:t xml:space="preserve">Risk tier: </w:t>
      </w:r>
      <w:r>
        <w:t xml:space="preserve">Credit decisioning models are Tier 1 (Critical) by default under the Risk-Tiering Rubric (Section 7.6) given their direct financial materiality and fair-lending </w:t>
      </w:r>
      <w:r>
        <w:lastRenderedPageBreak/>
        <w:t>exposure, requiring AI Governance Council approval and full model risk management validation.</w:t>
      </w:r>
    </w:p>
    <w:p w14:paraId="73F17A2D" w14:textId="77777777" w:rsidR="007355C5" w:rsidRDefault="00AC17C1">
      <w:pPr>
        <w:pStyle w:val="ListParagraph"/>
        <w:numPr>
          <w:ilvl w:val="0"/>
          <w:numId w:val="2"/>
        </w:numPr>
        <w:spacing w:after="80"/>
      </w:pPr>
      <w:r>
        <w:rPr>
          <w:b/>
          <w:bCs/>
        </w:rPr>
        <w:t xml:space="preserve">Regulatory alignment: </w:t>
      </w:r>
      <w:r>
        <w:t>Validation must satisfy OSFI E-23/B-10 in Canada and the applicable U.S. interagency model risk management guidance, and remain alert to the evolving status of U.S. fair-lending rulemaking flagged in Section 10.</w:t>
      </w:r>
    </w:p>
    <w:p w14:paraId="11E91307" w14:textId="77777777" w:rsidR="007355C5" w:rsidRDefault="00AC17C1">
      <w:pPr>
        <w:pStyle w:val="ListParagraph"/>
        <w:numPr>
          <w:ilvl w:val="0"/>
          <w:numId w:val="2"/>
        </w:numPr>
        <w:spacing w:after="80"/>
      </w:pPr>
      <w:r>
        <w:rPr>
          <w:b/>
          <w:bCs/>
        </w:rPr>
        <w:t xml:space="preserve">Explainability and adverse action: </w:t>
      </w:r>
      <w:r>
        <w:t>Every decline or adverse pricing decision must be supportable with a clear, accurate, and customer-understandable reason. Model-derived explainability output (e.g., from the Responsible AI dashboard) is supporting evidence, not the notice itself; a separately validated reason-code mapping and notice-generation control, signed off by legal/compliance, must produce the actual customer-facing notice as part of the pipeline, not after the fact.</w:t>
      </w:r>
    </w:p>
    <w:p w14:paraId="358B9EA1" w14:textId="77777777" w:rsidR="007355C5" w:rsidRDefault="00AC17C1">
      <w:pPr>
        <w:pStyle w:val="ListParagraph"/>
        <w:numPr>
          <w:ilvl w:val="0"/>
          <w:numId w:val="2"/>
        </w:numPr>
        <w:spacing w:after="80"/>
      </w:pPr>
      <w:r>
        <w:rPr>
          <w:b/>
          <w:bCs/>
        </w:rPr>
        <w:t xml:space="preserve">Fairness testing: </w:t>
      </w:r>
      <w:r>
        <w:t>Disparate-impact and fairness analysis is mandatory before deployment and on a recurring basis afterward, consistent with Section 7.3 (Responsible AI).</w:t>
      </w:r>
    </w:p>
    <w:p w14:paraId="48514AF9" w14:textId="77777777" w:rsidR="007355C5" w:rsidRDefault="00AC17C1">
      <w:pPr>
        <w:pStyle w:val="ListParagraph"/>
        <w:numPr>
          <w:ilvl w:val="0"/>
          <w:numId w:val="2"/>
        </w:numPr>
        <w:spacing w:after="80"/>
      </w:pPr>
      <w:r>
        <w:rPr>
          <w:b/>
          <w:bCs/>
        </w:rPr>
        <w:t xml:space="preserve">Human authority and override: </w:t>
      </w:r>
      <w:r>
        <w:t>A named human decision-maker retains final authority above defined thresholds, and all model overrides are logged and monitored for pattern review.</w:t>
      </w:r>
    </w:p>
    <w:p w14:paraId="71B60D0B" w14:textId="77777777" w:rsidR="007355C5" w:rsidRDefault="00AC17C1">
      <w:pPr>
        <w:pStyle w:val="ListParagraph"/>
        <w:numPr>
          <w:ilvl w:val="0"/>
          <w:numId w:val="2"/>
        </w:numPr>
        <w:spacing w:after="80"/>
      </w:pPr>
      <w:r>
        <w:rPr>
          <w:b/>
          <w:bCs/>
        </w:rPr>
        <w:t xml:space="preserve">Independent validation: </w:t>
      </w:r>
      <w:r>
        <w:t>Model validation must be performed by a function independent of model development, per Sections 7.4–7.5, with results recorded in the AI/Model Inventory.</w:t>
      </w:r>
    </w:p>
    <w:p w14:paraId="701F4FFC" w14:textId="77777777" w:rsidR="007355C5" w:rsidRDefault="00AC17C1">
      <w:pPr>
        <w:pStyle w:val="Heading3"/>
      </w:pPr>
      <w:bookmarkStart w:id="82" w:name="_Toc241649744"/>
      <w:r>
        <w:t>17.3.8 Success Metrics (KPIs)</w:t>
      </w:r>
      <w:bookmarkEnd w:id="82"/>
    </w:p>
    <w:p w14:paraId="7C4C7373" w14:textId="77777777" w:rsidR="007355C5" w:rsidRDefault="00AC17C1">
      <w:pPr>
        <w:pStyle w:val="ListParagraph"/>
        <w:numPr>
          <w:ilvl w:val="0"/>
          <w:numId w:val="2"/>
        </w:numPr>
        <w:spacing w:after="80"/>
      </w:pPr>
      <w:r>
        <w:t>Discrimination power (Gini coefficient / AUC) versus the pre-deployment baseline.</w:t>
      </w:r>
    </w:p>
    <w:p w14:paraId="1BF5FB31" w14:textId="77777777" w:rsidR="007355C5" w:rsidRDefault="00AC17C1">
      <w:pPr>
        <w:pStyle w:val="ListParagraph"/>
        <w:numPr>
          <w:ilvl w:val="0"/>
          <w:numId w:val="2"/>
        </w:numPr>
        <w:spacing w:after="80"/>
      </w:pPr>
      <w:r>
        <w:t>Approval rate at constant risk, or risk (default rate) at constant approval rate.</w:t>
      </w:r>
    </w:p>
    <w:p w14:paraId="46B23661" w14:textId="77777777" w:rsidR="007355C5" w:rsidRDefault="00AC17C1">
      <w:pPr>
        <w:pStyle w:val="ListParagraph"/>
        <w:numPr>
          <w:ilvl w:val="0"/>
          <w:numId w:val="2"/>
        </w:numPr>
        <w:spacing w:after="80"/>
      </w:pPr>
      <w:r>
        <w:t>Cycle time from application to decision.</w:t>
      </w:r>
    </w:p>
    <w:p w14:paraId="3DDD0E31" w14:textId="77777777" w:rsidR="007355C5" w:rsidRDefault="00AC17C1">
      <w:pPr>
        <w:pStyle w:val="ListParagraph"/>
        <w:numPr>
          <w:ilvl w:val="0"/>
          <w:numId w:val="2"/>
        </w:numPr>
        <w:spacing w:after="80"/>
      </w:pPr>
      <w:r>
        <w:t>Fair-lending metrics: approval rate parity and reason-code accuracy across segments.</w:t>
      </w:r>
    </w:p>
    <w:p w14:paraId="6476374E" w14:textId="77777777" w:rsidR="007355C5" w:rsidRDefault="00AC17C1">
      <w:pPr>
        <w:pStyle w:val="ListParagraph"/>
        <w:numPr>
          <w:ilvl w:val="0"/>
          <w:numId w:val="2"/>
        </w:numPr>
        <w:spacing w:after="80"/>
      </w:pPr>
      <w:r>
        <w:t>Underwriter productivity (cases reviewed per week).</w:t>
      </w:r>
    </w:p>
    <w:p w14:paraId="26348C72" w14:textId="77777777" w:rsidR="007355C5" w:rsidRDefault="00AC17C1">
      <w:pPr>
        <w:pStyle w:val="ListParagraph"/>
        <w:numPr>
          <w:ilvl w:val="0"/>
          <w:numId w:val="2"/>
        </w:numPr>
        <w:spacing w:after="80"/>
      </w:pPr>
      <w:r>
        <w:t>Model validation and re-validation timeliness.</w:t>
      </w:r>
    </w:p>
    <w:p w14:paraId="48FCB47A" w14:textId="77777777" w:rsidR="007355C5" w:rsidRDefault="00AC17C1">
      <w:pPr>
        <w:pStyle w:val="Heading3"/>
      </w:pPr>
      <w:bookmarkStart w:id="83" w:name="_Toc241649745"/>
      <w:r>
        <w:t>17.3.9 Sample Business Case Outline</w:t>
      </w:r>
      <w:bookmarkEnd w:id="83"/>
    </w:p>
    <w:p w14:paraId="21A4759A" w14:textId="77777777" w:rsidR="007355C5" w:rsidRDefault="00AC17C1">
      <w:pPr>
        <w:spacing w:after="160"/>
      </w:pPr>
      <w:r>
        <w:t>Following the same reusable template introduced in Section 17.1.9:</w:t>
      </w:r>
    </w:p>
    <w:p w14:paraId="3D406126" w14:textId="77777777" w:rsidR="007355C5" w:rsidRDefault="00AC17C1">
      <w:pPr>
        <w:pStyle w:val="ListParagraph"/>
        <w:numPr>
          <w:ilvl w:val="0"/>
          <w:numId w:val="2"/>
        </w:numPr>
        <w:spacing w:after="80"/>
      </w:pPr>
      <w:r>
        <w:rPr>
          <w:b/>
          <w:bCs/>
        </w:rPr>
        <w:t xml:space="preserve">Problem statement: </w:t>
      </w:r>
      <w:r>
        <w:t>Current-state cycle time, approval rate, and default rate by product line.</w:t>
      </w:r>
    </w:p>
    <w:p w14:paraId="69DBBE3A" w14:textId="77777777" w:rsidR="007355C5" w:rsidRDefault="00AC17C1">
      <w:pPr>
        <w:pStyle w:val="ListParagraph"/>
        <w:numPr>
          <w:ilvl w:val="0"/>
          <w:numId w:val="2"/>
        </w:numPr>
        <w:spacing w:after="80"/>
      </w:pPr>
      <w:r>
        <w:rPr>
          <w:b/>
          <w:bCs/>
        </w:rPr>
        <w:t xml:space="preserve">Target state: </w:t>
      </w:r>
      <w:r>
        <w:t>Expected cycle-time reduction, approval-rate or risk improvement, and underwriter productivity gain.</w:t>
      </w:r>
    </w:p>
    <w:p w14:paraId="2E1DA597" w14:textId="77777777" w:rsidR="007355C5" w:rsidRDefault="00AC17C1">
      <w:pPr>
        <w:pStyle w:val="ListParagraph"/>
        <w:numPr>
          <w:ilvl w:val="0"/>
          <w:numId w:val="2"/>
        </w:numPr>
        <w:spacing w:after="80"/>
      </w:pPr>
      <w:r>
        <w:rPr>
          <w:b/>
          <w:bCs/>
        </w:rPr>
        <w:t xml:space="preserve">Investment ask: </w:t>
      </w:r>
      <w:r>
        <w:t>Platform, model development/validation, integration, and change-management costs.</w:t>
      </w:r>
    </w:p>
    <w:p w14:paraId="4266689F" w14:textId="77777777" w:rsidR="007355C5" w:rsidRDefault="00AC17C1">
      <w:pPr>
        <w:pStyle w:val="ListParagraph"/>
        <w:numPr>
          <w:ilvl w:val="0"/>
          <w:numId w:val="2"/>
        </w:numPr>
        <w:spacing w:after="80"/>
      </w:pPr>
      <w:r>
        <w:rPr>
          <w:b/>
          <w:bCs/>
        </w:rPr>
        <w:t xml:space="preserve">Timeline: </w:t>
      </w:r>
      <w:r>
        <w:t>Aligned to the phased deployment approach in Section 5.3 (pilot, scale, industrialize).</w:t>
      </w:r>
    </w:p>
    <w:p w14:paraId="6DC882A3" w14:textId="77777777" w:rsidR="007355C5" w:rsidRDefault="00AC17C1">
      <w:pPr>
        <w:pStyle w:val="ListParagraph"/>
        <w:numPr>
          <w:ilvl w:val="0"/>
          <w:numId w:val="2"/>
        </w:numPr>
        <w:spacing w:after="80"/>
      </w:pPr>
      <w:r>
        <w:rPr>
          <w:b/>
          <w:bCs/>
        </w:rPr>
        <w:t xml:space="preserve">Owner and sponsor: </w:t>
      </w:r>
      <w:r>
        <w:t>Accountable business owner and executive sponsor, per the RACI in Section 5.5.</w:t>
      </w:r>
    </w:p>
    <w:p w14:paraId="4048901D" w14:textId="77777777" w:rsidR="007355C5" w:rsidRDefault="00AC17C1">
      <w:pPr>
        <w:pBdr>
          <w:left w:val="single" w:sz="12" w:space="8" w:color="B00020"/>
        </w:pBdr>
        <w:spacing w:before="80" w:after="200"/>
        <w:ind w:left="200"/>
      </w:pPr>
      <w:r>
        <w:rPr>
          <w:i/>
          <w:iCs/>
          <w:color w:val="B00020"/>
        </w:rPr>
        <w:t>[PLACEHOLDER — Institution-specific baseline metrics, investment figures, and timeline for the Credit Risk &amp; Underwriting business case]</w:t>
      </w:r>
    </w:p>
    <w:p w14:paraId="3ACD8DC4" w14:textId="77777777" w:rsidR="007355C5" w:rsidRDefault="00AC17C1">
      <w:pPr>
        <w:pStyle w:val="Heading2"/>
      </w:pPr>
      <w:bookmarkStart w:id="84" w:name="_Toc241649746"/>
      <w:r>
        <w:t>17.4 Deep Dive: Compliance &amp; Regulatory Reporting</w:t>
      </w:r>
      <w:bookmarkEnd w:id="84"/>
    </w:p>
    <w:p w14:paraId="7AC45AE3" w14:textId="77777777" w:rsidR="007355C5" w:rsidRDefault="00AC17C1">
      <w:pPr>
        <w:pStyle w:val="Heading3"/>
      </w:pPr>
      <w:bookmarkStart w:id="85" w:name="_Toc241649747"/>
      <w:r>
        <w:lastRenderedPageBreak/>
        <w:t>17.4.1 The Problem</w:t>
      </w:r>
      <w:bookmarkEnd w:id="85"/>
    </w:p>
    <w:p w14:paraId="59DFA9A1" w14:textId="77777777" w:rsidR="007355C5" w:rsidRDefault="00AC17C1">
      <w:pPr>
        <w:spacing w:after="160"/>
      </w:pPr>
      <w:r>
        <w:t>Compliance and regulatory reporting functions face a growing volume and pace of obligations across jurisdictions, delivered largely through manual, sampling-based processes that struggle to keep up:</w:t>
      </w:r>
    </w:p>
    <w:p w14:paraId="747B665E" w14:textId="77777777" w:rsidR="007355C5" w:rsidRDefault="00AC17C1">
      <w:pPr>
        <w:pStyle w:val="ListParagraph"/>
        <w:numPr>
          <w:ilvl w:val="0"/>
          <w:numId w:val="2"/>
        </w:numPr>
        <w:spacing w:after="80"/>
      </w:pPr>
      <w:r>
        <w:rPr>
          <w:b/>
          <w:bCs/>
        </w:rPr>
        <w:t xml:space="preserve">Regulatory change volume: </w:t>
      </w:r>
      <w:r>
        <w:t>Guidance and rule changes arrive continuously from multiple regulators (OSFI, FINTRAC, OCC, the Federal Reserve, CFPB, state regulators — see Section 10), and manually tracking, interpreting, and mapping each change to affected policies is slow and error-prone.</w:t>
      </w:r>
    </w:p>
    <w:p w14:paraId="3D131F08" w14:textId="77777777" w:rsidR="007355C5" w:rsidRDefault="00AC17C1">
      <w:pPr>
        <w:pStyle w:val="ListParagraph"/>
        <w:numPr>
          <w:ilvl w:val="0"/>
          <w:numId w:val="2"/>
        </w:numPr>
        <w:spacing w:after="80"/>
      </w:pPr>
      <w:r>
        <w:rPr>
          <w:b/>
          <w:bCs/>
        </w:rPr>
        <w:t xml:space="preserve">Manual, error-prone reporting: </w:t>
      </w:r>
      <w:r>
        <w:t>Regulatory reports (call reports, capital/liquidity returns, AML/CTR filings) are often assembled by hand from multiple systems, creating both delay and error risk.</w:t>
      </w:r>
    </w:p>
    <w:p w14:paraId="219A4B8D" w14:textId="77777777" w:rsidR="007355C5" w:rsidRDefault="00AC17C1">
      <w:pPr>
        <w:pStyle w:val="ListParagraph"/>
        <w:numPr>
          <w:ilvl w:val="0"/>
          <w:numId w:val="2"/>
        </w:numPr>
        <w:spacing w:after="80"/>
      </w:pPr>
      <w:r>
        <w:rPr>
          <w:b/>
          <w:bCs/>
        </w:rPr>
        <w:t xml:space="preserve">Sampling-based surveillance: </w:t>
      </w:r>
      <w:r>
        <w:t>Communications and trade surveillance typically review only a sample of activity, missing conduct risk, insider-trading language, or policy breaches that fall outside the sample.</w:t>
      </w:r>
    </w:p>
    <w:p w14:paraId="37512B4D" w14:textId="77777777" w:rsidR="007355C5" w:rsidRDefault="00AC17C1">
      <w:pPr>
        <w:pStyle w:val="ListParagraph"/>
        <w:numPr>
          <w:ilvl w:val="0"/>
          <w:numId w:val="2"/>
        </w:numPr>
        <w:spacing w:after="80"/>
      </w:pPr>
      <w:r>
        <w:rPr>
          <w:b/>
          <w:bCs/>
        </w:rPr>
        <w:t xml:space="preserve">Fragmented policy guidance: </w:t>
      </w:r>
      <w:r>
        <w:t>Frontline staff often lack a fast, reliable way to get an accurate answer to a policy question, leading to inconsistent informal guidance.</w:t>
      </w:r>
    </w:p>
    <w:p w14:paraId="3FF702F6" w14:textId="77777777" w:rsidR="007355C5" w:rsidRDefault="00AC17C1">
      <w:pPr>
        <w:pStyle w:val="ListParagraph"/>
        <w:numPr>
          <w:ilvl w:val="0"/>
          <w:numId w:val="2"/>
        </w:numPr>
        <w:spacing w:after="80"/>
      </w:pPr>
      <w:r>
        <w:rPr>
          <w:b/>
          <w:bCs/>
        </w:rPr>
        <w:t xml:space="preserve">Slow examiner and audit response: </w:t>
      </w:r>
      <w:r>
        <w:t>Responding to a regulator's information request means manually pulling data and documents from multiple systems under time pressure.</w:t>
      </w:r>
    </w:p>
    <w:p w14:paraId="023976FB" w14:textId="77777777" w:rsidR="007355C5" w:rsidRDefault="00AC17C1">
      <w:pPr>
        <w:pStyle w:val="ListParagraph"/>
        <w:numPr>
          <w:ilvl w:val="0"/>
          <w:numId w:val="2"/>
        </w:numPr>
        <w:spacing w:after="80"/>
      </w:pPr>
      <w:r>
        <w:rPr>
          <w:b/>
          <w:bCs/>
        </w:rPr>
        <w:t xml:space="preserve">Growing AI-specific compliance burden: </w:t>
      </w:r>
      <w:r>
        <w:t>New model documentation, disclosure, and governance obligations for AI itself (Sections 7, 10) add to, rather than replace, the existing compliance workload.</w:t>
      </w:r>
    </w:p>
    <w:p w14:paraId="719625F7" w14:textId="77777777" w:rsidR="007355C5" w:rsidRDefault="00AC17C1">
      <w:pPr>
        <w:pStyle w:val="Heading3"/>
      </w:pPr>
      <w:bookmarkStart w:id="86" w:name="_Toc241649748"/>
      <w:r>
        <w:t>17.4.2 How Microsoft Azure and Azure AI Can Help</w:t>
      </w:r>
      <w:bookmarkEnd w:id="86"/>
    </w:p>
    <w:p w14:paraId="283B6A13" w14:textId="77777777" w:rsidR="007355C5" w:rsidRDefault="00AC17C1">
      <w:pPr>
        <w:spacing w:after="160"/>
      </w:pPr>
      <w:r>
        <w:t>Azure allows the compliance function to move from periodic, sampling-based oversight to continuous, full-coverage monitoring and faster regulatory response, while keeping compliance officers firmly in control of every finding and filing:</w:t>
      </w:r>
    </w:p>
    <w:p w14:paraId="0A611054" w14:textId="77777777" w:rsidR="007355C5" w:rsidRDefault="00AC17C1">
      <w:pPr>
        <w:pStyle w:val="ListParagraph"/>
        <w:numPr>
          <w:ilvl w:val="0"/>
          <w:numId w:val="2"/>
        </w:numPr>
        <w:spacing w:after="80"/>
      </w:pPr>
      <w:r>
        <w:rPr>
          <w:b/>
          <w:bCs/>
        </w:rPr>
        <w:t xml:space="preserve">Faster regulatory horizon scanning: </w:t>
      </w:r>
      <w:r>
        <w:t>A generative AI copilot summarizes new guidance and drafts an initial impact assessment mapping it to affected policies and business units, for compliance officer review and approval.</w:t>
      </w:r>
    </w:p>
    <w:p w14:paraId="48BC2D8C" w14:textId="77777777" w:rsidR="007355C5" w:rsidRDefault="00AC17C1">
      <w:pPr>
        <w:pStyle w:val="ListParagraph"/>
        <w:numPr>
          <w:ilvl w:val="0"/>
          <w:numId w:val="2"/>
        </w:numPr>
        <w:spacing w:after="80"/>
      </w:pPr>
      <w:r>
        <w:rPr>
          <w:b/>
          <w:bCs/>
        </w:rPr>
        <w:t xml:space="preserve">Automated, auditable reporting: </w:t>
      </w:r>
      <w:r>
        <w:t>Reports are auto-populated from the bank's governed data estate rather than assembled by hand, reducing both cycle time and error rate, with the compliance officer retaining sign-off before submission.</w:t>
      </w:r>
    </w:p>
    <w:p w14:paraId="762C3530" w14:textId="77777777" w:rsidR="007355C5" w:rsidRDefault="00AC17C1">
      <w:pPr>
        <w:pStyle w:val="ListParagraph"/>
        <w:numPr>
          <w:ilvl w:val="0"/>
          <w:numId w:val="2"/>
        </w:numPr>
        <w:spacing w:after="80"/>
      </w:pPr>
      <w:r>
        <w:rPr>
          <w:b/>
          <w:bCs/>
        </w:rPr>
        <w:t xml:space="preserve">Full-coverage surveillance: </w:t>
      </w:r>
      <w:r>
        <w:t>Natural-language processing screens the full population of monitored communications for conduct risk and policy breaches, rather than a sample, surfacing high-risk items for human review.</w:t>
      </w:r>
    </w:p>
    <w:p w14:paraId="190170C5" w14:textId="77777777" w:rsidR="007355C5" w:rsidRDefault="00AC17C1">
      <w:pPr>
        <w:pStyle w:val="ListParagraph"/>
        <w:numPr>
          <w:ilvl w:val="0"/>
          <w:numId w:val="2"/>
        </w:numPr>
        <w:spacing w:after="80"/>
      </w:pPr>
      <w:r>
        <w:rPr>
          <w:b/>
          <w:bCs/>
        </w:rPr>
        <w:t xml:space="preserve">Grounded compliance Q&amp;amp;A: </w:t>
      </w:r>
      <w:r>
        <w:t>A retrieval-grounded copilot answers frontline policy questions from the bank's current, approved policy content — reducing informal or inconsistent guidance.</w:t>
      </w:r>
    </w:p>
    <w:p w14:paraId="674FF2A2" w14:textId="77777777" w:rsidR="007355C5" w:rsidRDefault="00AC17C1">
      <w:pPr>
        <w:pStyle w:val="ListParagraph"/>
        <w:numPr>
          <w:ilvl w:val="0"/>
          <w:numId w:val="2"/>
        </w:numPr>
        <w:spacing w:after="80"/>
      </w:pPr>
      <w:r>
        <w:rPr>
          <w:b/>
          <w:bCs/>
        </w:rPr>
        <w:t xml:space="preserve">Faster exam and audit response: </w:t>
      </w:r>
      <w:r>
        <w:t>Document intelligence and a governed data catalog speed the assembly of examiner requests with a complete, traceable audit trail.</w:t>
      </w:r>
    </w:p>
    <w:p w14:paraId="011C0C1E" w14:textId="77777777" w:rsidR="007355C5" w:rsidRDefault="00AC17C1">
      <w:pPr>
        <w:pStyle w:val="ListParagraph"/>
        <w:numPr>
          <w:ilvl w:val="0"/>
          <w:numId w:val="2"/>
        </w:numPr>
        <w:spacing w:after="80"/>
      </w:pPr>
      <w:r>
        <w:rPr>
          <w:b/>
          <w:bCs/>
        </w:rPr>
        <w:t xml:space="preserve">Governed like every other use case: </w:t>
      </w:r>
      <w:r>
        <w:t>Every compliance AI tool is registered in the AI/Model Inventory, risk-tiered, and monitored under the same standards as the rest of the AI program (Sections 7.4–7.6).</w:t>
      </w:r>
    </w:p>
    <w:p w14:paraId="2C099784" w14:textId="77777777" w:rsidR="007355C5" w:rsidRDefault="00AC17C1">
      <w:pPr>
        <w:pStyle w:val="Heading3"/>
      </w:pPr>
      <w:bookmarkStart w:id="87" w:name="_Toc241649749"/>
      <w:r>
        <w:t>17.4.3 Specific Azure and Microsoft Products</w:t>
      </w:r>
      <w:bookmarkEnd w:id="87"/>
    </w:p>
    <w:p w14:paraId="07067AC6" w14:textId="77777777" w:rsidR="007355C5" w:rsidRDefault="00AC17C1">
      <w:pPr>
        <w:spacing w:after="160"/>
      </w:pPr>
      <w:r>
        <w:lastRenderedPageBreak/>
        <w:t>The following Azure and Microsoft products map to the capabilities most relevant to compliance and regulatory reporting: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3060"/>
        <w:gridCol w:w="3800"/>
      </w:tblGrid>
      <w:tr w:rsidR="007355C5" w14:paraId="07013D98" w14:textId="77777777">
        <w:trPr>
          <w:tblHeader/>
        </w:trPr>
        <w:tc>
          <w:tcPr>
            <w:tcW w:w="2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EA0B86A" w14:textId="77777777" w:rsidR="007355C5" w:rsidRDefault="00AC17C1">
            <w:r>
              <w:rPr>
                <w:b/>
                <w:bCs/>
                <w:color w:val="FFFFFF"/>
              </w:rPr>
              <w:t>Capability</w:t>
            </w:r>
          </w:p>
        </w:tc>
        <w:tc>
          <w:tcPr>
            <w:tcW w:w="30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6CF785D" w14:textId="77777777" w:rsidR="007355C5" w:rsidRDefault="00AC17C1">
            <w:r>
              <w:rPr>
                <w:b/>
                <w:bCs/>
                <w:color w:val="FFFFFF"/>
              </w:rPr>
              <w:t>Azure / Microsoft Product</w:t>
            </w:r>
          </w:p>
        </w:tc>
        <w:tc>
          <w:tcPr>
            <w:tcW w:w="3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0494C4F" w14:textId="77777777" w:rsidR="007355C5" w:rsidRDefault="00AC17C1">
            <w:r>
              <w:rPr>
                <w:b/>
                <w:bCs/>
                <w:color w:val="FFFFFF"/>
              </w:rPr>
              <w:t>Role</w:t>
            </w:r>
          </w:p>
        </w:tc>
      </w:tr>
      <w:tr w:rsidR="007355C5" w14:paraId="7A160B4F"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5A4A59B" w14:textId="77777777" w:rsidR="007355C5" w:rsidRDefault="00AC17C1">
            <w:r>
              <w:t>Regulatory horizon scanning &amp;amp; impact analysis</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72020A" w14:textId="77777777" w:rsidR="007355C5" w:rsidRDefault="00AC17C1">
            <w:r>
              <w:t>Azure OpenAI Service; Azure AI Foundry Agent Service</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C509CF" w14:textId="77777777" w:rsidR="007355C5" w:rsidRDefault="00AC17C1">
            <w:r>
              <w:t>Summarize new regulatory guidance and draft an initial impact assessment mapping changes to affected policies for compliance review.</w:t>
            </w:r>
          </w:p>
        </w:tc>
      </w:tr>
      <w:tr w:rsidR="007355C5" w14:paraId="1FD2213F"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ABCCFFC" w14:textId="77777777" w:rsidR="007355C5" w:rsidRDefault="00AC17C1">
            <w:r>
              <w:t>Communications &amp;amp; conduct surveillance</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883BACE" w14:textId="77777777" w:rsidR="007355C5" w:rsidRDefault="00AC17C1">
            <w:r>
              <w:t>Microsoft Purview Communication Compliance; Azure AI Language</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A25CE1" w14:textId="77777777" w:rsidR="007355C5" w:rsidRDefault="00AC17C1">
            <w:r>
              <w:t>Screen the full population of monitored communications for conduct risk, policy breaches, and other flagged language, rather than a manual sample.</w:t>
            </w:r>
          </w:p>
        </w:tc>
      </w:tr>
      <w:tr w:rsidR="007355C5" w14:paraId="4AA7A472"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522AF4" w14:textId="77777777" w:rsidR="007355C5" w:rsidRDefault="00AC17C1">
            <w:r>
              <w:t>Automated regulatory reporting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46ADE6" w14:textId="77777777" w:rsidR="007355C5" w:rsidRDefault="00AC17C1">
            <w:r>
              <w:t>Microsoft Fabric; Microsoft Purview</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8A59E7" w14:textId="77777777" w:rsidR="007355C5" w:rsidRDefault="00AC17C1">
            <w:r>
              <w:t>Aggregate governed data from across the bank to auto-populate regulatory report templates, with full data lineage for audit.</w:t>
            </w:r>
          </w:p>
        </w:tc>
      </w:tr>
      <w:tr w:rsidR="007355C5" w14:paraId="51EFEA8F"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C5C85BA" w14:textId="77777777" w:rsidR="007355C5" w:rsidRDefault="00AC17C1">
            <w:r>
              <w:t>Regulatory filing document processing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4830205" w14:textId="77777777" w:rsidR="007355C5" w:rsidRDefault="00AC17C1">
            <w:r>
              <w:t>Azure AI Document Intelligence</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F13E4D" w14:textId="77777777" w:rsidR="007355C5" w:rsidRDefault="00AC17C1">
            <w:r>
              <w:t>Extract data from exam requests, filings, and supporting documents to speed report and response assembly.</w:t>
            </w:r>
          </w:p>
        </w:tc>
      </w:tr>
      <w:tr w:rsidR="007355C5" w14:paraId="70902B11"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C0660F0" w14:textId="77777777" w:rsidR="007355C5" w:rsidRDefault="00AC17C1">
            <w:r>
              <w:t>Compliance Q&amp;amp;A copilot</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C1D418" w14:textId="77777777" w:rsidR="007355C5" w:rsidRDefault="00AC17C1">
            <w:r>
              <w:t>Azure OpenAI Service; Azure AI Search</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F26EC3" w14:textId="77777777" w:rsidR="007355C5" w:rsidRDefault="00AC17C1">
            <w:r>
              <w:t>Answer frontline policy questions grounded in current, approved policy and procedure content (retrieval-augmented generation).</w:t>
            </w:r>
          </w:p>
        </w:tc>
      </w:tr>
      <w:tr w:rsidR="007355C5" w14:paraId="0D6A976C"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D131AC" w14:textId="77777777" w:rsidR="007355C5" w:rsidRDefault="00AC17C1">
            <w:r>
              <w:t>Compliance posture tracking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6B6F20" w14:textId="77777777" w:rsidR="007355C5" w:rsidRDefault="00AC17C1">
            <w:r>
              <w:t>Microsoft Purview Compliance Manager</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92D7B9" w14:textId="77777777" w:rsidR="007355C5" w:rsidRDefault="00AC17C1">
            <w:r>
              <w:t>Track the bank's control compliance status against applicable regulatory frameworks and surface gaps.</w:t>
            </w:r>
          </w:p>
        </w:tc>
      </w:tr>
      <w:tr w:rsidR="007355C5" w14:paraId="16352910"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3FBB16" w14:textId="77777777" w:rsidR="007355C5" w:rsidRDefault="00AC17C1">
            <w:r>
              <w:t>Compliance dashboards &amp;amp; reporting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F92551" w14:textId="77777777" w:rsidR="007355C5" w:rsidRDefault="00AC17C1">
            <w:r>
              <w:t>Power BI</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19649A" w14:textId="77777777" w:rsidR="007355C5" w:rsidRDefault="00AC17C1">
            <w:r>
              <w:t>Provide compliance and board-level dashboards on regulatory obligations, surveillance findings, and reporting status.</w:t>
            </w:r>
          </w:p>
        </w:tc>
      </w:tr>
      <w:tr w:rsidR="007355C5" w14:paraId="1991432E"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74F85F" w14:textId="77777777" w:rsidR="007355C5" w:rsidRDefault="00AC17C1">
            <w:r>
              <w:t>Data governance &amp;amp; classification</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6918C5" w14:textId="77777777" w:rsidR="007355C5" w:rsidRDefault="00AC17C1">
            <w:r>
              <w:t>Microsoft Purview</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E8299D" w14:textId="77777777" w:rsidR="007355C5" w:rsidRDefault="00AC17C1">
            <w:r>
              <w:t>Classify and track lineage of the data used in regulatory reports and surveillance, a prerequisite for auditability.</w:t>
            </w:r>
          </w:p>
        </w:tc>
      </w:tr>
      <w:tr w:rsidR="007355C5" w14:paraId="30701129"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CAF8B3" w14:textId="77777777" w:rsidR="007355C5" w:rsidRDefault="00AC17C1">
            <w:r>
              <w:t>Access control for compliance data</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B3E5B0" w14:textId="77777777" w:rsidR="007355C5" w:rsidRDefault="00AC17C1">
            <w:r>
              <w:t>Microsoft Entra ID</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7F51BF" w14:textId="77777777" w:rsidR="007355C5" w:rsidRDefault="00AC17C1">
            <w:r>
              <w:t>Enforce least-privilege access to sensitive surveillance, investigation, and regulatory reporting data.</w:t>
            </w:r>
          </w:p>
        </w:tc>
      </w:tr>
      <w:tr w:rsidR="007355C5" w14:paraId="5B92A87C"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4F26A3" w14:textId="77777777" w:rsidR="007355C5" w:rsidRDefault="00AC17C1">
            <w:r>
              <w:t>Model governance &amp;amp; monitoring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58A25C4" w14:textId="77777777" w:rsidR="007355C5" w:rsidRDefault="00AC17C1">
            <w:r>
              <w:t>Azure AI Foundry Responsible AI dashboard; Azure Monitor</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D78EEC" w14:textId="77777777" w:rsidR="007355C5" w:rsidRDefault="00AC17C1">
            <w:r>
              <w:t>Track accuracy, false-positive rates, and drift for compliance AI tools, feeding the AI/Model Inventory (Section 7.5).</w:t>
            </w:r>
          </w:p>
        </w:tc>
      </w:tr>
    </w:tbl>
    <w:p w14:paraId="24567218" w14:textId="77777777" w:rsidR="007355C5" w:rsidRDefault="007355C5">
      <w:pPr>
        <w:spacing w:after="160"/>
      </w:pPr>
    </w:p>
    <w:p w14:paraId="2363BC6A" w14:textId="77777777" w:rsidR="007355C5" w:rsidRDefault="00AC17C1">
      <w:pPr>
        <w:pStyle w:val="Heading3"/>
      </w:pPr>
      <w:bookmarkStart w:id="88" w:name="_Toc241649750"/>
      <w:r>
        <w:t>17.4.4 Illustrative Solution Pattern</w:t>
      </w:r>
      <w:bookmarkEnd w:id="88"/>
    </w:p>
    <w:p w14:paraId="4440031A" w14:textId="77777777" w:rsidR="007355C5" w:rsidRDefault="00AC17C1">
      <w:pPr>
        <w:spacing w:after="160"/>
      </w:pPr>
      <w:r>
        <w:t>A representative end-to-end flow on Azure:</w:t>
      </w:r>
    </w:p>
    <w:p w14:paraId="66C3D90E" w14:textId="77777777" w:rsidR="007355C5" w:rsidRDefault="00AC17C1">
      <w:pPr>
        <w:pStyle w:val="ListParagraph"/>
        <w:numPr>
          <w:ilvl w:val="0"/>
          <w:numId w:val="3"/>
        </w:numPr>
        <w:spacing w:after="80"/>
      </w:pPr>
      <w:r>
        <w:t>New regulatory guidance from OSFI, FINTRAC, OCC, the Federal Reserve, CFPB, and state regulators (Section 10) is ingested, and a horizon-scanning copilot (Azure OpenAI Service / Azure AI Foundry Agent Service) summarizes the change and drafts an initial impact assessment.</w:t>
      </w:r>
    </w:p>
    <w:p w14:paraId="026ADB69" w14:textId="77777777" w:rsidR="007355C5" w:rsidRDefault="00AC17C1">
      <w:pPr>
        <w:pStyle w:val="ListParagraph"/>
        <w:numPr>
          <w:ilvl w:val="0"/>
          <w:numId w:val="3"/>
        </w:numPr>
        <w:spacing w:after="80"/>
      </w:pPr>
      <w:r>
        <w:t>Compliance officers review the AI-drafted assessment and approve or route any required policy or control updates.</w:t>
      </w:r>
    </w:p>
    <w:p w14:paraId="586FFF25" w14:textId="77777777" w:rsidR="007355C5" w:rsidRDefault="00AC17C1">
      <w:pPr>
        <w:pStyle w:val="ListParagraph"/>
        <w:numPr>
          <w:ilvl w:val="0"/>
          <w:numId w:val="3"/>
        </w:numPr>
        <w:spacing w:after="80"/>
      </w:pPr>
      <w:r>
        <w:t>For regulatory reporting, data is aggregated from the governed data estate (Microsoft Fabric, Microsoft Purview lineage) to auto-populate report templates (e.g., call reports, capital/liquidity returns, AML/CTR filings); a compliance officer reviews and attests before submission.</w:t>
      </w:r>
    </w:p>
    <w:p w14:paraId="5B9C0A87" w14:textId="77777777" w:rsidR="007355C5" w:rsidRDefault="00AC17C1">
      <w:pPr>
        <w:pStyle w:val="ListParagraph"/>
        <w:numPr>
          <w:ilvl w:val="0"/>
          <w:numId w:val="3"/>
        </w:numPr>
        <w:spacing w:after="80"/>
      </w:pPr>
      <w:r>
        <w:t>For communications and trade surveillance, Microsoft Purview Communication Compliance and Azure AI Language screen the full population of monitored communications, flagging high-risk items for human review instead of relying on manual sampling.</w:t>
      </w:r>
    </w:p>
    <w:p w14:paraId="0C4CD6F4" w14:textId="77777777" w:rsidR="007355C5" w:rsidRDefault="00AC17C1">
      <w:pPr>
        <w:pStyle w:val="ListParagraph"/>
        <w:numPr>
          <w:ilvl w:val="0"/>
          <w:numId w:val="3"/>
        </w:numPr>
        <w:spacing w:after="80"/>
      </w:pPr>
      <w:r>
        <w:t>A grounded compliance Q&amp;amp;A copilot, indexed over current policy content via Azure AI Search, answers frontline staff questions in real time.</w:t>
      </w:r>
    </w:p>
    <w:p w14:paraId="7ADF166B" w14:textId="77777777" w:rsidR="007355C5" w:rsidRDefault="00AC17C1">
      <w:pPr>
        <w:pStyle w:val="ListParagraph"/>
        <w:numPr>
          <w:ilvl w:val="0"/>
          <w:numId w:val="3"/>
        </w:numPr>
        <w:spacing w:after="80"/>
      </w:pPr>
      <w:r>
        <w:t>For examiner or audit requests, Azure AI Document Intelligence and the Purview data catalog speed assembly of a complete, traceable response package.</w:t>
      </w:r>
    </w:p>
    <w:p w14:paraId="5B6C0786" w14:textId="77777777" w:rsidR="007355C5" w:rsidRDefault="00AC17C1">
      <w:pPr>
        <w:pStyle w:val="ListParagraph"/>
        <w:numPr>
          <w:ilvl w:val="0"/>
          <w:numId w:val="3"/>
        </w:numPr>
        <w:spacing w:after="80"/>
      </w:pPr>
      <w:r>
        <w:t>All compliance AI tools are registered in the AI/Model Inventory (Section 7.5), risk-tiered, and monitored per Section 16.</w:t>
      </w:r>
    </w:p>
    <w:p w14:paraId="5A6974DF" w14:textId="77777777" w:rsidR="007355C5" w:rsidRDefault="00AC17C1">
      <w:pPr>
        <w:pStyle w:val="Heading3"/>
      </w:pPr>
      <w:bookmarkStart w:id="89" w:name="_Toc241649751"/>
      <w:r>
        <w:t>17.4.5 Business Benefits</w:t>
      </w:r>
      <w:bookmarkEnd w:id="8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0"/>
        <w:gridCol w:w="4260"/>
        <w:gridCol w:w="2750"/>
      </w:tblGrid>
      <w:tr w:rsidR="007355C5" w14:paraId="3080DE67" w14:textId="77777777">
        <w:trPr>
          <w:tblHeader/>
        </w:trPr>
        <w:tc>
          <w:tcPr>
            <w:tcW w:w="23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AB57D02" w14:textId="77777777" w:rsidR="007355C5" w:rsidRDefault="00AC17C1">
            <w:r>
              <w:rPr>
                <w:b/>
                <w:bCs/>
                <w:color w:val="FFFFFF"/>
              </w:rPr>
              <w:t>Benefit Category</w:t>
            </w:r>
          </w:p>
        </w:tc>
        <w:tc>
          <w:tcPr>
            <w:tcW w:w="42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F898214" w14:textId="77777777" w:rsidR="007355C5" w:rsidRDefault="00AC17C1">
            <w:r>
              <w:rPr>
                <w:b/>
                <w:bCs/>
                <w:color w:val="FFFFFF"/>
              </w:rPr>
              <w:t>Description</w:t>
            </w:r>
          </w:p>
        </w:tc>
        <w:tc>
          <w:tcPr>
            <w:tcW w:w="27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95016A1" w14:textId="77777777" w:rsidR="007355C5" w:rsidRDefault="00AC17C1">
            <w:r>
              <w:rPr>
                <w:b/>
                <w:bCs/>
                <w:color w:val="FFFFFF"/>
              </w:rPr>
              <w:t>Illustrative Metric</w:t>
            </w:r>
          </w:p>
        </w:tc>
      </w:tr>
      <w:tr w:rsidR="007355C5" w14:paraId="3CA5C19B"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AE0ECEF" w14:textId="77777777" w:rsidR="007355C5" w:rsidRDefault="00AC17C1">
            <w:r>
              <w:t>Faster regulatory response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EE6CA9" w14:textId="77777777" w:rsidR="007355C5" w:rsidRDefault="00AC17C1">
            <w:r>
              <w:t>Horizon scanning and impact assessment happen in hours instead of weeks.</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CB4F16" w14:textId="77777777" w:rsidR="007355C5" w:rsidRDefault="00AC17C1">
            <w:r>
              <w:t>Cycle time from guidance publication to impact assessment</w:t>
            </w:r>
          </w:p>
        </w:tc>
      </w:tr>
      <w:tr w:rsidR="007355C5" w14:paraId="48D76974"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013425" w14:textId="77777777" w:rsidR="007355C5" w:rsidRDefault="00AC17C1">
            <w:r>
              <w:t>Fewer reporting errors</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F3A4B4E" w14:textId="77777777" w:rsidR="007355C5" w:rsidRDefault="00AC17C1">
            <w:r>
              <w:t>Auto-populated reports reduce manual assembly and transcription errors.</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67BD57" w14:textId="77777777" w:rsidR="007355C5" w:rsidRDefault="00AC17C1">
            <w:r>
              <w:t>Report error / rework rate</w:t>
            </w:r>
          </w:p>
        </w:tc>
      </w:tr>
      <w:tr w:rsidR="007355C5" w14:paraId="31A6F473"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F55F7C" w14:textId="77777777" w:rsidR="007355C5" w:rsidRDefault="00AC17C1">
            <w:r>
              <w:t>Full-coverage surveillance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5CD172" w14:textId="77777777" w:rsidR="007355C5" w:rsidRDefault="00AC17C1">
            <w:r>
              <w:t>Every monitored communication is screened rather than a sample.</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DBBB23" w14:textId="77777777" w:rsidR="007355C5" w:rsidRDefault="00AC17C1">
            <w:r>
              <w:t>% of communications under AI-assisted surveillance; issues detected</w:t>
            </w:r>
          </w:p>
        </w:tc>
      </w:tr>
      <w:tr w:rsidR="007355C5" w14:paraId="40CC22A7"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CFCBC3D" w14:textId="77777777" w:rsidR="007355C5" w:rsidRDefault="00AC17C1">
            <w:r>
              <w:t>Faster exam and audit response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6CE4F8B" w14:textId="77777777" w:rsidR="007355C5" w:rsidRDefault="00AC17C1">
            <w:r>
              <w:t>Automated document assembly and a governed data catalog speed response packages.</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3CE6A2E" w14:textId="77777777" w:rsidR="007355C5" w:rsidRDefault="00AC17C1">
            <w:r>
              <w:t>Examiner/audit response cycle time</w:t>
            </w:r>
          </w:p>
        </w:tc>
      </w:tr>
      <w:tr w:rsidR="007355C5" w14:paraId="7083D052"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5A467E" w14:textId="77777777" w:rsidR="007355C5" w:rsidRDefault="00AC17C1">
            <w:r>
              <w:t>Lower compliance cost per obligation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C4F4A36" w14:textId="77777777" w:rsidR="007355C5" w:rsidRDefault="00AC17C1">
            <w:r>
              <w:t>Automation reduces manual effort per report and per control.</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DEA599" w14:textId="77777777" w:rsidR="007355C5" w:rsidRDefault="00AC17C1">
            <w:r>
              <w:t>Compliance FTE hours per report/control</w:t>
            </w:r>
          </w:p>
        </w:tc>
      </w:tr>
      <w:tr w:rsidR="007355C5" w14:paraId="0F441B79"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DBCFA8" w14:textId="77777777" w:rsidR="007355C5" w:rsidRDefault="00AC17C1">
            <w:r>
              <w:lastRenderedPageBreak/>
              <w:t>Improved policy consistency</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BA08DF" w14:textId="77777777" w:rsidR="007355C5" w:rsidRDefault="00AC17C1">
            <w:r>
              <w:t>A grounded Q&amp;amp;A copilot reduces inconsistent informal guidance.</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F30644" w14:textId="77777777" w:rsidR="007355C5" w:rsidRDefault="00AC17C1">
            <w:r>
              <w:t>Policy Q&amp;amp;A accuracy; reduction in policy-related exceptions</w:t>
            </w:r>
          </w:p>
        </w:tc>
      </w:tr>
    </w:tbl>
    <w:p w14:paraId="42DEB059" w14:textId="77777777" w:rsidR="007355C5" w:rsidRDefault="007355C5">
      <w:pPr>
        <w:spacing w:after="160"/>
      </w:pPr>
    </w:p>
    <w:p w14:paraId="7420136E" w14:textId="77777777" w:rsidR="007355C5" w:rsidRDefault="00AC17C1">
      <w:pPr>
        <w:pStyle w:val="Heading3"/>
      </w:pPr>
      <w:bookmarkStart w:id="90" w:name="_Toc241649752"/>
      <w:r>
        <w:t>17.4.6 Data and Integration Requirements</w:t>
      </w:r>
      <w:bookmarkEnd w:id="90"/>
    </w:p>
    <w:p w14:paraId="0D965FA5" w14:textId="77777777" w:rsidR="007355C5" w:rsidRDefault="00AC17C1">
      <w:pPr>
        <w:pStyle w:val="ListParagraph"/>
        <w:numPr>
          <w:ilvl w:val="0"/>
          <w:numId w:val="2"/>
        </w:numPr>
        <w:spacing w:after="80"/>
      </w:pPr>
      <w:r>
        <w:t>Regulatory guidance feeds from applicable regulators (OSFI, FINTRAC, OCC, Federal Reserve, CFPB, state regulators).</w:t>
      </w:r>
    </w:p>
    <w:p w14:paraId="5CDFFA02" w14:textId="77777777" w:rsidR="007355C5" w:rsidRDefault="00AC17C1">
      <w:pPr>
        <w:pStyle w:val="ListParagraph"/>
        <w:numPr>
          <w:ilvl w:val="0"/>
          <w:numId w:val="2"/>
        </w:numPr>
        <w:spacing w:after="80"/>
      </w:pPr>
      <w:r>
        <w:t>The bank's current policy and procedure repository.</w:t>
      </w:r>
    </w:p>
    <w:p w14:paraId="1786F9FE" w14:textId="77777777" w:rsidR="007355C5" w:rsidRDefault="00AC17C1">
      <w:pPr>
        <w:pStyle w:val="ListParagraph"/>
        <w:numPr>
          <w:ilvl w:val="0"/>
          <w:numId w:val="2"/>
        </w:numPr>
        <w:spacing w:after="80"/>
      </w:pPr>
      <w:r>
        <w:t>Core banking and finance data required for regulatory reports (call reports, capital/liquidity returns, AML/CTR filings).</w:t>
      </w:r>
    </w:p>
    <w:p w14:paraId="303141E4" w14:textId="77777777" w:rsidR="007355C5" w:rsidRDefault="00AC17C1">
      <w:pPr>
        <w:pStyle w:val="ListParagraph"/>
        <w:numPr>
          <w:ilvl w:val="0"/>
          <w:numId w:val="2"/>
        </w:numPr>
        <w:spacing w:after="80"/>
      </w:pPr>
      <w:r>
        <w:t>Communications data (email, chat, voice) collected with appropriate legal basis and employee notice.</w:t>
      </w:r>
    </w:p>
    <w:p w14:paraId="6CB99FA4" w14:textId="77777777" w:rsidR="007355C5" w:rsidRDefault="00AC17C1">
      <w:pPr>
        <w:pStyle w:val="ListParagraph"/>
        <w:numPr>
          <w:ilvl w:val="0"/>
          <w:numId w:val="2"/>
        </w:numPr>
        <w:spacing w:after="80"/>
      </w:pPr>
      <w:r>
        <w:t>Prior examination findings and audit history.</w:t>
      </w:r>
    </w:p>
    <w:p w14:paraId="282E5249" w14:textId="77777777" w:rsidR="007355C5" w:rsidRDefault="00AC17C1">
      <w:pPr>
        <w:pStyle w:val="ListParagraph"/>
        <w:numPr>
          <w:ilvl w:val="0"/>
          <w:numId w:val="2"/>
        </w:numPr>
        <w:spacing w:after="80"/>
      </w:pPr>
      <w:r>
        <w:t>Data governance, classification, and lineage via Microsoft Purview.</w:t>
      </w:r>
    </w:p>
    <w:p w14:paraId="1417902A" w14:textId="77777777" w:rsidR="007355C5" w:rsidRDefault="00AC17C1">
      <w:pPr>
        <w:pStyle w:val="Heading3"/>
      </w:pPr>
      <w:bookmarkStart w:id="91" w:name="_Toc241649753"/>
      <w:r>
        <w:t>17.4.7 Risk, Governance and Human Oversight Considerations</w:t>
      </w:r>
      <w:bookmarkEnd w:id="91"/>
    </w:p>
    <w:p w14:paraId="67026655" w14:textId="77777777" w:rsidR="007355C5" w:rsidRDefault="00AC17C1">
      <w:pPr>
        <w:pStyle w:val="ListParagraph"/>
        <w:numPr>
          <w:ilvl w:val="0"/>
          <w:numId w:val="2"/>
        </w:numPr>
        <w:spacing w:after="80"/>
      </w:pPr>
      <w:r>
        <w:rPr>
          <w:b/>
          <w:bCs/>
        </w:rPr>
        <w:t xml:space="preserve">Risk tier: </w:t>
      </w:r>
      <w:r>
        <w:t>Copilots that summarize guidance or draft reports for human review are generally Tier 2 under the Risk-Tiering Rubric (Section 7.6); any tool that auto-submits a regulatory filing or auto-actions a conduct finding without human sign-off is Tier 1.</w:t>
      </w:r>
    </w:p>
    <w:p w14:paraId="621CCB3B" w14:textId="77777777" w:rsidR="007355C5" w:rsidRDefault="00AC17C1">
      <w:pPr>
        <w:pStyle w:val="ListParagraph"/>
        <w:numPr>
          <w:ilvl w:val="0"/>
          <w:numId w:val="2"/>
        </w:numPr>
        <w:spacing w:after="80"/>
      </w:pPr>
      <w:r>
        <w:rPr>
          <w:b/>
          <w:bCs/>
        </w:rPr>
        <w:t xml:space="preserve">Human sign-off required: </w:t>
      </w:r>
      <w:r>
        <w:t>Regulatory report submission and any HR or conduct action arising from surveillance findings must retain a human decision-maker of record.</w:t>
      </w:r>
    </w:p>
    <w:p w14:paraId="05AD760C" w14:textId="77777777" w:rsidR="007355C5" w:rsidRDefault="00AC17C1">
      <w:pPr>
        <w:pStyle w:val="ListParagraph"/>
        <w:numPr>
          <w:ilvl w:val="0"/>
          <w:numId w:val="2"/>
        </w:numPr>
        <w:spacing w:after="80"/>
      </w:pPr>
      <w:r>
        <w:rPr>
          <w:b/>
          <w:bCs/>
        </w:rPr>
        <w:t xml:space="preserve">Explainability for surveillance flags: </w:t>
      </w:r>
      <w:r>
        <w:t>Conduct-risk flags must be explainable and reviewable to avoid unsubstantiated allegations against employees or customers.</w:t>
      </w:r>
    </w:p>
    <w:p w14:paraId="6A965524" w14:textId="77777777" w:rsidR="007355C5" w:rsidRDefault="00AC17C1">
      <w:pPr>
        <w:pStyle w:val="ListParagraph"/>
        <w:numPr>
          <w:ilvl w:val="0"/>
          <w:numId w:val="2"/>
        </w:numPr>
        <w:spacing w:after="80"/>
      </w:pPr>
      <w:r>
        <w:rPr>
          <w:b/>
          <w:bCs/>
        </w:rPr>
        <w:t xml:space="preserve">Employee privacy: </w:t>
      </w:r>
      <w:r>
        <w:t>Communications surveillance requires a clear legal basis, appropriate employee notice, and alignment with Sections 9 and 10 (Data Privacy; Regulatory Map).</w:t>
      </w:r>
    </w:p>
    <w:p w14:paraId="244D3B6B" w14:textId="77777777" w:rsidR="007355C5" w:rsidRDefault="00AC17C1">
      <w:pPr>
        <w:pStyle w:val="ListParagraph"/>
        <w:numPr>
          <w:ilvl w:val="0"/>
          <w:numId w:val="2"/>
        </w:numPr>
        <w:spacing w:after="80"/>
      </w:pPr>
      <w:r>
        <w:rPr>
          <w:b/>
          <w:bCs/>
        </w:rPr>
        <w:t xml:space="preserve">Independence: </w:t>
      </w:r>
      <w:r>
        <w:t>The compliance function should maintain independent oversight of the AI tools used to monitor conduct and compliance, consistent with the second-line role described in Section 7.</w:t>
      </w:r>
    </w:p>
    <w:p w14:paraId="41ED3C95" w14:textId="77777777" w:rsidR="007355C5" w:rsidRDefault="00AC17C1">
      <w:pPr>
        <w:pStyle w:val="ListParagraph"/>
        <w:numPr>
          <w:ilvl w:val="0"/>
          <w:numId w:val="2"/>
        </w:numPr>
        <w:spacing w:after="80"/>
      </w:pPr>
      <w:r>
        <w:rPr>
          <w:b/>
          <w:bCs/>
        </w:rPr>
        <w:t xml:space="preserve">Inventory and monitoring: </w:t>
      </w:r>
      <w:r>
        <w:t>Every compliance AI tool is registered in the AI/Model Inventory (Section 7.5) and monitored for accuracy and false-positive rate per Section 16.</w:t>
      </w:r>
    </w:p>
    <w:p w14:paraId="4539E942" w14:textId="77777777" w:rsidR="007355C5" w:rsidRDefault="00AC17C1">
      <w:pPr>
        <w:pStyle w:val="Heading3"/>
      </w:pPr>
      <w:bookmarkStart w:id="92" w:name="_Toc241649754"/>
      <w:r>
        <w:t>17.4.8 Success Metrics (KPIs)</w:t>
      </w:r>
      <w:bookmarkEnd w:id="92"/>
    </w:p>
    <w:p w14:paraId="59B66D9B" w14:textId="77777777" w:rsidR="007355C5" w:rsidRDefault="00AC17C1">
      <w:pPr>
        <w:pStyle w:val="ListParagraph"/>
        <w:numPr>
          <w:ilvl w:val="0"/>
          <w:numId w:val="2"/>
        </w:numPr>
        <w:spacing w:after="80"/>
      </w:pPr>
      <w:r>
        <w:t>Cycle time from regulatory guidance publication to completed impact assessment.</w:t>
      </w:r>
    </w:p>
    <w:p w14:paraId="4697AAFA" w14:textId="77777777" w:rsidR="007355C5" w:rsidRDefault="00AC17C1">
      <w:pPr>
        <w:pStyle w:val="ListParagraph"/>
        <w:numPr>
          <w:ilvl w:val="0"/>
          <w:numId w:val="2"/>
        </w:numPr>
        <w:spacing w:after="80"/>
      </w:pPr>
      <w:r>
        <w:t>Regulatory report error / rework rate.</w:t>
      </w:r>
    </w:p>
    <w:p w14:paraId="4387003A" w14:textId="77777777" w:rsidR="007355C5" w:rsidRDefault="00AC17C1">
      <w:pPr>
        <w:pStyle w:val="ListParagraph"/>
        <w:numPr>
          <w:ilvl w:val="0"/>
          <w:numId w:val="2"/>
        </w:numPr>
        <w:spacing w:after="80"/>
      </w:pPr>
      <w:r>
        <w:t>Percentage of communications under full AI-assisted surveillance versus manual sampling.</w:t>
      </w:r>
    </w:p>
    <w:p w14:paraId="2D208EE2" w14:textId="77777777" w:rsidR="007355C5" w:rsidRDefault="00AC17C1">
      <w:pPr>
        <w:pStyle w:val="ListParagraph"/>
        <w:numPr>
          <w:ilvl w:val="0"/>
          <w:numId w:val="2"/>
        </w:numPr>
        <w:spacing w:after="80"/>
      </w:pPr>
      <w:r>
        <w:t>Conduct-risk detection rate and false-positive rate.</w:t>
      </w:r>
    </w:p>
    <w:p w14:paraId="55163776" w14:textId="77777777" w:rsidR="007355C5" w:rsidRDefault="00AC17C1">
      <w:pPr>
        <w:pStyle w:val="ListParagraph"/>
        <w:numPr>
          <w:ilvl w:val="0"/>
          <w:numId w:val="2"/>
        </w:numPr>
        <w:spacing w:after="80"/>
      </w:pPr>
      <w:r>
        <w:t>Examiner / audit response cycle time.</w:t>
      </w:r>
    </w:p>
    <w:p w14:paraId="505A8F05" w14:textId="77777777" w:rsidR="007355C5" w:rsidRDefault="00AC17C1">
      <w:pPr>
        <w:pStyle w:val="ListParagraph"/>
        <w:numPr>
          <w:ilvl w:val="0"/>
          <w:numId w:val="2"/>
        </w:numPr>
        <w:spacing w:after="80"/>
      </w:pPr>
      <w:r>
        <w:t>Compliance FTE hours per report or control.</w:t>
      </w:r>
    </w:p>
    <w:p w14:paraId="3D2D94E6" w14:textId="77777777" w:rsidR="007355C5" w:rsidRDefault="00AC17C1">
      <w:pPr>
        <w:pStyle w:val="Heading3"/>
      </w:pPr>
      <w:bookmarkStart w:id="93" w:name="_Toc241649755"/>
      <w:r>
        <w:lastRenderedPageBreak/>
        <w:t>17.4.9 Sample Business Case Outline</w:t>
      </w:r>
      <w:bookmarkEnd w:id="93"/>
    </w:p>
    <w:p w14:paraId="18B60C7B" w14:textId="77777777" w:rsidR="007355C5" w:rsidRDefault="00AC17C1">
      <w:pPr>
        <w:spacing w:after="160"/>
      </w:pPr>
      <w:r>
        <w:t>Following the same reusable template introduced in Section 17.1.9:</w:t>
      </w:r>
    </w:p>
    <w:p w14:paraId="1B0984C1" w14:textId="77777777" w:rsidR="007355C5" w:rsidRDefault="00AC17C1">
      <w:pPr>
        <w:pStyle w:val="ListParagraph"/>
        <w:numPr>
          <w:ilvl w:val="0"/>
          <w:numId w:val="2"/>
        </w:numPr>
        <w:spacing w:after="80"/>
      </w:pPr>
      <w:r>
        <w:rPr>
          <w:b/>
          <w:bCs/>
        </w:rPr>
        <w:t xml:space="preserve">Problem statement: </w:t>
      </w:r>
      <w:r>
        <w:t>Current-state reporting cycle time, error rate, and surveillance coverage.</w:t>
      </w:r>
    </w:p>
    <w:p w14:paraId="5736B12F" w14:textId="77777777" w:rsidR="007355C5" w:rsidRDefault="00AC17C1">
      <w:pPr>
        <w:pStyle w:val="ListParagraph"/>
        <w:numPr>
          <w:ilvl w:val="0"/>
          <w:numId w:val="2"/>
        </w:numPr>
        <w:spacing w:after="80"/>
      </w:pPr>
      <w:r>
        <w:rPr>
          <w:b/>
          <w:bCs/>
        </w:rPr>
        <w:t xml:space="preserve">Target state: </w:t>
      </w:r>
      <w:r>
        <w:t>Expected cycle-time reduction, error-rate reduction, and surveillance coverage improvement.</w:t>
      </w:r>
    </w:p>
    <w:p w14:paraId="68384671" w14:textId="77777777" w:rsidR="007355C5" w:rsidRDefault="00AC17C1">
      <w:pPr>
        <w:pStyle w:val="ListParagraph"/>
        <w:numPr>
          <w:ilvl w:val="0"/>
          <w:numId w:val="2"/>
        </w:numPr>
        <w:spacing w:after="80"/>
      </w:pPr>
      <w:r>
        <w:rPr>
          <w:b/>
          <w:bCs/>
        </w:rPr>
        <w:t xml:space="preserve">Investment ask: </w:t>
      </w:r>
      <w:r>
        <w:t>Platform, model/content development, integration, and change-management costs.</w:t>
      </w:r>
    </w:p>
    <w:p w14:paraId="51F34C3E" w14:textId="77777777" w:rsidR="007355C5" w:rsidRDefault="00AC17C1">
      <w:pPr>
        <w:pStyle w:val="ListParagraph"/>
        <w:numPr>
          <w:ilvl w:val="0"/>
          <w:numId w:val="2"/>
        </w:numPr>
        <w:spacing w:after="80"/>
      </w:pPr>
      <w:r>
        <w:rPr>
          <w:b/>
          <w:bCs/>
        </w:rPr>
        <w:t xml:space="preserve">Timeline: </w:t>
      </w:r>
      <w:r>
        <w:t>Aligned to the phased deployment approach in Section 5.3 (pilot, scale, industrialize).</w:t>
      </w:r>
    </w:p>
    <w:p w14:paraId="7DC0D5A3" w14:textId="77777777" w:rsidR="007355C5" w:rsidRDefault="00AC17C1">
      <w:pPr>
        <w:pStyle w:val="ListParagraph"/>
        <w:numPr>
          <w:ilvl w:val="0"/>
          <w:numId w:val="2"/>
        </w:numPr>
        <w:spacing w:after="80"/>
      </w:pPr>
      <w:r>
        <w:rPr>
          <w:b/>
          <w:bCs/>
        </w:rPr>
        <w:t xml:space="preserve">Owner and sponsor: </w:t>
      </w:r>
      <w:r>
        <w:t>Accountable business owner and executive sponsor, per the RACI in Section 5.5.</w:t>
      </w:r>
    </w:p>
    <w:p w14:paraId="69D0DCBA" w14:textId="77777777" w:rsidR="007355C5" w:rsidRDefault="00AC17C1">
      <w:pPr>
        <w:pBdr>
          <w:left w:val="single" w:sz="12" w:space="8" w:color="B00020"/>
        </w:pBdr>
        <w:spacing w:before="80" w:after="200"/>
        <w:ind w:left="200"/>
      </w:pPr>
      <w:r>
        <w:rPr>
          <w:i/>
          <w:iCs/>
          <w:color w:val="B00020"/>
        </w:rPr>
        <w:t>[PLACEHOLDER — Institution-specific baseline metrics, investment figures, and timeline for the Compliance &amp; Regulatory Reporting business case]</w:t>
      </w:r>
    </w:p>
    <w:p w14:paraId="0CB0B7FF" w14:textId="77777777" w:rsidR="007355C5" w:rsidRDefault="00AC17C1">
      <w:pPr>
        <w:pStyle w:val="Heading2"/>
      </w:pPr>
      <w:bookmarkStart w:id="94" w:name="_Toc241649756"/>
      <w:r>
        <w:t>17.5 Deep Dive: Operations &amp; Back-Office Processing</w:t>
      </w:r>
      <w:bookmarkEnd w:id="94"/>
    </w:p>
    <w:p w14:paraId="728F5EBE" w14:textId="77777777" w:rsidR="007355C5" w:rsidRDefault="00AC17C1">
      <w:pPr>
        <w:pStyle w:val="Heading3"/>
      </w:pPr>
      <w:bookmarkStart w:id="95" w:name="_Toc241649757"/>
      <w:r>
        <w:t>17.5.1 The Problem</w:t>
      </w:r>
      <w:bookmarkEnd w:id="95"/>
    </w:p>
    <w:p w14:paraId="01328634" w14:textId="77777777" w:rsidR="007355C5" w:rsidRDefault="00AC17C1">
      <w:pPr>
        <w:spacing w:after="160"/>
      </w:pPr>
      <w:r>
        <w:t>Back-office operations — payment exception handling, reconciliations, account maintenance, trade settlement, and document processing — remain some of the most manual, repetitive, and error-prone work in most banks:</w:t>
      </w:r>
    </w:p>
    <w:p w14:paraId="0A533104" w14:textId="77777777" w:rsidR="007355C5" w:rsidRDefault="00AC17C1">
      <w:pPr>
        <w:pStyle w:val="ListParagraph"/>
        <w:numPr>
          <w:ilvl w:val="0"/>
          <w:numId w:val="2"/>
        </w:numPr>
        <w:spacing w:after="80"/>
      </w:pPr>
      <w:r>
        <w:rPr>
          <w:b/>
          <w:bCs/>
        </w:rPr>
        <w:t xml:space="preserve">High-volume, repetitive processing: </w:t>
      </w:r>
      <w:r>
        <w:t>Large volumes of payments, reconciliations, and account maintenance requests are still handled through manual review and re-keying between disconnected systems.</w:t>
      </w:r>
    </w:p>
    <w:p w14:paraId="348C1BCE" w14:textId="77777777" w:rsidR="007355C5" w:rsidRDefault="00AC17C1">
      <w:pPr>
        <w:pStyle w:val="ListParagraph"/>
        <w:numPr>
          <w:ilvl w:val="0"/>
          <w:numId w:val="2"/>
        </w:numPr>
        <w:spacing w:after="80"/>
      </w:pPr>
      <w:r>
        <w:rPr>
          <w:b/>
          <w:bCs/>
        </w:rPr>
        <w:t xml:space="preserve">Batch-driven delay: </w:t>
      </w:r>
      <w:r>
        <w:t>Legacy overnight batch cycles for reconciliation and settlement create delays that are increasingly at odds with real-time payment expectations.</w:t>
      </w:r>
    </w:p>
    <w:p w14:paraId="7E137966" w14:textId="77777777" w:rsidR="007355C5" w:rsidRDefault="00AC17C1">
      <w:pPr>
        <w:pStyle w:val="ListParagraph"/>
        <w:numPr>
          <w:ilvl w:val="0"/>
          <w:numId w:val="2"/>
        </w:numPr>
        <w:spacing w:after="80"/>
      </w:pPr>
      <w:r>
        <w:rPr>
          <w:b/>
          <w:bCs/>
        </w:rPr>
        <w:t xml:space="preserve">Slow, fragmented exception handling: </w:t>
      </w:r>
      <w:r>
        <w:t>When straight-through processing fails, investigating the exception often means manually searching across the core banking system, payment network, and ledger to find the root cause.</w:t>
      </w:r>
    </w:p>
    <w:p w14:paraId="4C253228" w14:textId="77777777" w:rsidR="007355C5" w:rsidRDefault="00AC17C1">
      <w:pPr>
        <w:pStyle w:val="ListParagraph"/>
        <w:numPr>
          <w:ilvl w:val="0"/>
          <w:numId w:val="2"/>
        </w:numPr>
        <w:spacing w:after="80"/>
      </w:pPr>
      <w:r>
        <w:rPr>
          <w:b/>
          <w:bCs/>
        </w:rPr>
        <w:t xml:space="preserve">High cost-to-serve at scale: </w:t>
      </w:r>
      <w:r>
        <w:t>Back-office operating costs tend to scale with transaction volume rather than falling as volume grows, squeezing margins.</w:t>
      </w:r>
    </w:p>
    <w:p w14:paraId="4A020092" w14:textId="77777777" w:rsidR="007355C5" w:rsidRDefault="00AC17C1">
      <w:pPr>
        <w:pStyle w:val="ListParagraph"/>
        <w:numPr>
          <w:ilvl w:val="0"/>
          <w:numId w:val="2"/>
        </w:numPr>
        <w:spacing w:after="80"/>
      </w:pPr>
      <w:r>
        <w:rPr>
          <w:b/>
          <w:bCs/>
        </w:rPr>
        <w:t xml:space="preserve">Rework and error risk: </w:t>
      </w:r>
      <w:r>
        <w:t>Manual data entry and re-keying between systems introduce errors that are costly to detect and correct after the fact.</w:t>
      </w:r>
    </w:p>
    <w:p w14:paraId="49DCCB49" w14:textId="77777777" w:rsidR="007355C5" w:rsidRDefault="00AC17C1">
      <w:pPr>
        <w:pStyle w:val="ListParagraph"/>
        <w:numPr>
          <w:ilvl w:val="0"/>
          <w:numId w:val="2"/>
        </w:numPr>
        <w:spacing w:after="80"/>
      </w:pPr>
      <w:r>
        <w:rPr>
          <w:b/>
          <w:bCs/>
        </w:rPr>
        <w:t xml:space="preserve">Talent and attrition pressure: </w:t>
      </w:r>
      <w:r>
        <w:t>Repetitive, low-variety back-office roles have high attrition, making it hard to retain institutional knowledge of exception-handling procedures.</w:t>
      </w:r>
    </w:p>
    <w:p w14:paraId="366F9F17" w14:textId="77777777" w:rsidR="007355C5" w:rsidRDefault="00AC17C1">
      <w:pPr>
        <w:pStyle w:val="Heading3"/>
      </w:pPr>
      <w:bookmarkStart w:id="96" w:name="_Toc241649758"/>
      <w:r>
        <w:t>17.5.2 How Microsoft Azure and Azure AI Can Help</w:t>
      </w:r>
      <w:bookmarkEnd w:id="96"/>
    </w:p>
    <w:p w14:paraId="7336FA96" w14:textId="77777777" w:rsidR="007355C5" w:rsidRDefault="00AC17C1">
      <w:pPr>
        <w:spacing w:after="160"/>
      </w:pPr>
      <w:r>
        <w:t>Azure lets a bank raise its straight-through processing rate for AI-assisted matching, reconciliation, and exception triage, while keeping a human confirming the release, settlement, or final posting of any money-moving transaction above a pre-approved, low-risk threshold:</w:t>
      </w:r>
    </w:p>
    <w:p w14:paraId="1F384667" w14:textId="77777777" w:rsidR="007355C5" w:rsidRDefault="00AC17C1">
      <w:pPr>
        <w:pStyle w:val="ListParagraph"/>
        <w:numPr>
          <w:ilvl w:val="0"/>
          <w:numId w:val="2"/>
        </w:numPr>
        <w:spacing w:after="80"/>
      </w:pPr>
      <w:r>
        <w:rPr>
          <w:b/>
          <w:bCs/>
        </w:rPr>
        <w:t xml:space="preserve">Higher straight-through processing: </w:t>
      </w:r>
      <w:r>
        <w:t>Machine learning-based matching and anomaly detection automatically reconcile the vast majority of transactions, escalating only genuine exceptions for human review.</w:t>
      </w:r>
    </w:p>
    <w:p w14:paraId="4CF1A546" w14:textId="77777777" w:rsidR="007355C5" w:rsidRDefault="00AC17C1">
      <w:pPr>
        <w:pStyle w:val="ListParagraph"/>
        <w:numPr>
          <w:ilvl w:val="0"/>
          <w:numId w:val="2"/>
        </w:numPr>
        <w:spacing w:after="80"/>
      </w:pPr>
      <w:r>
        <w:rPr>
          <w:b/>
          <w:bCs/>
        </w:rPr>
        <w:lastRenderedPageBreak/>
        <w:t xml:space="preserve">Faster exception investigation: </w:t>
      </w:r>
      <w:r>
        <w:t>A generative AI copilot pulls the relevant records across systems, summarizes the likely root cause of an exception, and recommends a resolution path for the operations analyst to confirm.</w:t>
      </w:r>
    </w:p>
    <w:p w14:paraId="6D5E4FAF" w14:textId="77777777" w:rsidR="007355C5" w:rsidRDefault="00AC17C1">
      <w:pPr>
        <w:pStyle w:val="ListParagraph"/>
        <w:numPr>
          <w:ilvl w:val="0"/>
          <w:numId w:val="2"/>
        </w:numPr>
        <w:spacing w:after="80"/>
      </w:pPr>
      <w:r>
        <w:rPr>
          <w:b/>
          <w:bCs/>
        </w:rPr>
        <w:t xml:space="preserve">Automated document and data capture: </w:t>
      </w:r>
      <w:r>
        <w:t>Intelligent document processing extracts data from checks, remittance advices, and trade confirmations that still arrive as paper or PDF, removing manual re-keying.</w:t>
      </w:r>
    </w:p>
    <w:p w14:paraId="5623E3EF" w14:textId="77777777" w:rsidR="007355C5" w:rsidRDefault="00AC17C1">
      <w:pPr>
        <w:pStyle w:val="ListParagraph"/>
        <w:numPr>
          <w:ilvl w:val="0"/>
          <w:numId w:val="2"/>
        </w:numPr>
        <w:spacing w:after="80"/>
      </w:pPr>
      <w:r>
        <w:rPr>
          <w:b/>
          <w:bCs/>
        </w:rPr>
        <w:t xml:space="preserve">Real-time operational visibility: </w:t>
      </w:r>
      <w:r>
        <w:t>Real-time processing telemetry and dashboards give operations leaders live visibility into volumes, exception rates, and SLA performance instead of next-day reporting.</w:t>
      </w:r>
    </w:p>
    <w:p w14:paraId="39EC2F4D" w14:textId="77777777" w:rsidR="007355C5" w:rsidRDefault="00AC17C1">
      <w:pPr>
        <w:pStyle w:val="ListParagraph"/>
        <w:numPr>
          <w:ilvl w:val="0"/>
          <w:numId w:val="2"/>
        </w:numPr>
        <w:spacing w:after="80"/>
      </w:pPr>
      <w:r>
        <w:rPr>
          <w:b/>
          <w:bCs/>
        </w:rPr>
        <w:t xml:space="preserve">Continuous improvement: </w:t>
      </w:r>
      <w:r>
        <w:t>Resolved exceptions and analyst feedback continuously retrain the matching and anomaly-detection models, raising the straight-through processing rate over time.</w:t>
      </w:r>
    </w:p>
    <w:p w14:paraId="34DF70E5" w14:textId="77777777" w:rsidR="007355C5" w:rsidRDefault="00AC17C1">
      <w:pPr>
        <w:pStyle w:val="ListParagraph"/>
        <w:numPr>
          <w:ilvl w:val="0"/>
          <w:numId w:val="2"/>
        </w:numPr>
        <w:spacing w:after="80"/>
      </w:pPr>
      <w:r>
        <w:rPr>
          <w:b/>
          <w:bCs/>
        </w:rPr>
        <w:t xml:space="preserve">Governed like every other use case: </w:t>
      </w:r>
      <w:r>
        <w:t>Every automation and AI component is registered in the AI/Model Inventory, risk-tiered, and monitored under the same standards as the rest of the AI program (Sections 7.4–7.6).</w:t>
      </w:r>
    </w:p>
    <w:p w14:paraId="7AFAC573" w14:textId="77777777" w:rsidR="007355C5" w:rsidRDefault="00AC17C1">
      <w:pPr>
        <w:pStyle w:val="Heading3"/>
      </w:pPr>
      <w:bookmarkStart w:id="97" w:name="_Toc241649759"/>
      <w:r>
        <w:t>17.5.3 Specific Azure and Microsoft Products</w:t>
      </w:r>
      <w:bookmarkEnd w:id="97"/>
    </w:p>
    <w:p w14:paraId="0175B8D4" w14:textId="77777777" w:rsidR="007355C5" w:rsidRDefault="00AC17C1">
      <w:pPr>
        <w:spacing w:after="160"/>
      </w:pPr>
      <w:r>
        <w:t>The following Azure and Microsoft products map to the capabilities most relevant to operations and back-office processing: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3060"/>
        <w:gridCol w:w="3800"/>
      </w:tblGrid>
      <w:tr w:rsidR="007355C5" w14:paraId="6D2932F2" w14:textId="77777777">
        <w:trPr>
          <w:tblHeader/>
        </w:trPr>
        <w:tc>
          <w:tcPr>
            <w:tcW w:w="2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1C404DCC" w14:textId="77777777" w:rsidR="007355C5" w:rsidRDefault="00AC17C1">
            <w:r>
              <w:rPr>
                <w:b/>
                <w:bCs/>
                <w:color w:val="FFFFFF"/>
              </w:rPr>
              <w:t>Capability</w:t>
            </w:r>
          </w:p>
        </w:tc>
        <w:tc>
          <w:tcPr>
            <w:tcW w:w="30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9F5481A" w14:textId="77777777" w:rsidR="007355C5" w:rsidRDefault="00AC17C1">
            <w:r>
              <w:rPr>
                <w:b/>
                <w:bCs/>
                <w:color w:val="FFFFFF"/>
              </w:rPr>
              <w:t>Azure / Microsoft Product</w:t>
            </w:r>
          </w:p>
        </w:tc>
        <w:tc>
          <w:tcPr>
            <w:tcW w:w="3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01DBED3F" w14:textId="77777777" w:rsidR="007355C5" w:rsidRDefault="00AC17C1">
            <w:r>
              <w:rPr>
                <w:b/>
                <w:bCs/>
                <w:color w:val="FFFFFF"/>
              </w:rPr>
              <w:t>Role</w:t>
            </w:r>
          </w:p>
        </w:tc>
      </w:tr>
      <w:tr w:rsidR="007355C5" w14:paraId="0DEBDEC5"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945C6F" w14:textId="77777777" w:rsidR="007355C5" w:rsidRDefault="00AC17C1">
            <w:r>
              <w:t>Document data capture</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6AAFC18" w14:textId="77777777" w:rsidR="007355C5" w:rsidRDefault="00AC17C1">
            <w:r>
              <w:t>Azure AI Document Intelligence</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960287" w14:textId="77777777" w:rsidR="007355C5" w:rsidRDefault="00AC17C1">
            <w:r>
              <w:t>Extract structured data from checks, remittance advices, trade confirmations, and invoices that still arrive as paper or PDF.</w:t>
            </w:r>
          </w:p>
        </w:tc>
      </w:tr>
      <w:tr w:rsidR="007355C5" w14:paraId="58877D6E"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CDEA5C" w14:textId="77777777" w:rsidR="007355C5" w:rsidRDefault="00AC17C1">
            <w:r>
              <w:t>Automated reconciliation &amp; anomaly detection</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A48723" w14:textId="77777777" w:rsidR="007355C5" w:rsidRDefault="00AC17C1">
            <w:r>
              <w:t>Azure Machine Learning; Azure AI Foundry</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E14101" w14:textId="77777777" w:rsidR="007355C5" w:rsidRDefault="00AC17C1">
            <w:r>
              <w:t>Automatically match the large majority of transactions and flag genuine exceptions for human review, rather than exhaustive manual reconciliation.</w:t>
            </w:r>
          </w:p>
        </w:tc>
      </w:tr>
      <w:tr w:rsidR="007355C5" w14:paraId="1D66DDB3"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E3DC65" w14:textId="77777777" w:rsidR="007355C5" w:rsidRDefault="00AC17C1">
            <w:r>
              <w:t>Exception investigation copilot</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8AFD10" w14:textId="77777777" w:rsidR="007355C5" w:rsidRDefault="00AC17C1">
            <w:r>
              <w:t>Azure OpenAI Service; Azure AI Foundry Agent Service</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1B17A5" w14:textId="77777777" w:rsidR="007355C5" w:rsidRDefault="00AC17C1">
            <w:r>
              <w:t>Pull relevant records across systems, summarize the likely root cause of a flagged exception, and recommend a resolution for the operations analyst to confirm.</w:t>
            </w:r>
          </w:p>
        </w:tc>
      </w:tr>
      <w:tr w:rsidR="007355C5" w14:paraId="212FE7DA"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53DDD1" w14:textId="77777777" w:rsidR="007355C5" w:rsidRDefault="00AC17C1">
            <w:r>
              <w:t>Workflow orchestration &amp; automation</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7160D6" w14:textId="77777777" w:rsidR="007355C5" w:rsidRDefault="00AC17C1">
            <w:r>
              <w:t>Power Automate; Power Platform</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9CB747" w14:textId="77777777" w:rsidR="007355C5" w:rsidRDefault="00AC17C1">
            <w:r>
              <w:t>Orchestrate straight-through processing workflows and hand off exceptions that fail automated matching rules for AI-assisted or human review.</w:t>
            </w:r>
          </w:p>
        </w:tc>
      </w:tr>
      <w:tr w:rsidR="007355C5" w14:paraId="4E0B064D"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DE4D7E" w14:textId="77777777" w:rsidR="007355C5" w:rsidRDefault="00AC17C1">
            <w:r>
              <w:t>Unified operational data estate</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C4FB68F" w14:textId="77777777" w:rsidR="007355C5" w:rsidRDefault="00AC17C1">
            <w:r>
              <w:t>Microsoft Fabric</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1B7959" w14:textId="77777777" w:rsidR="007355C5" w:rsidRDefault="00AC17C1">
            <w:r>
              <w:t>Bring together core banking, payment, and ledger data into a governed data estate used consistently across reconciliation and reporting.</w:t>
            </w:r>
          </w:p>
        </w:tc>
      </w:tr>
      <w:tr w:rsidR="007355C5" w14:paraId="0407BF99"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FD8FF1" w14:textId="77777777" w:rsidR="007355C5" w:rsidRDefault="00AC17C1">
            <w:r>
              <w:lastRenderedPageBreak/>
              <w:t>Real-time processing telemetry</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87CD77" w14:textId="77777777" w:rsidR="007355C5" w:rsidRDefault="00AC17C1">
            <w:r>
              <w:t>Azure Event Hubs; Microsoft Fabric Real-Time Intelligence</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E241EB" w14:textId="77777777" w:rsidR="007355C5" w:rsidRDefault="00AC17C1">
            <w:r>
              <w:t>Stream transaction and settlement events in real time to support live monitoring rather than next-day batch reporting.</w:t>
            </w:r>
          </w:p>
        </w:tc>
      </w:tr>
      <w:tr w:rsidR="007355C5" w14:paraId="7880C097"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4E015C" w14:textId="77777777" w:rsidR="007355C5" w:rsidRDefault="00AC17C1">
            <w:r>
              <w:t>Operations dashboards &amp; SLA tracking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39709C7" w14:textId="77777777" w:rsidR="007355C5" w:rsidRDefault="00AC17C1">
            <w:r>
              <w:t>Power BI</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5EEB96" w14:textId="77777777" w:rsidR="007355C5" w:rsidRDefault="00AC17C1">
            <w:r>
              <w:t>Give operations leaders live visibility into volumes, exception rates, and SLA performance.</w:t>
            </w:r>
          </w:p>
        </w:tc>
      </w:tr>
      <w:tr w:rsidR="007355C5" w14:paraId="5A2C1C2A"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695EA8" w14:textId="77777777" w:rsidR="007355C5" w:rsidRDefault="00AC17C1">
            <w:r>
              <w:t>Grounded procedures/runbook copilot</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615256" w14:textId="77777777" w:rsidR="007355C5" w:rsidRDefault="00AC17C1">
            <w:r>
              <w:t>Azure AI Search</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FA07818" w14:textId="77777777" w:rsidR="007355C5" w:rsidRDefault="00AC17C1">
            <w:r>
              <w:t>Index approved operating procedures and runbooks so the exception-investigation copilot's recommendations are grounded in current process documentation.</w:t>
            </w:r>
          </w:p>
        </w:tc>
      </w:tr>
      <w:tr w:rsidR="007355C5" w14:paraId="0D8E2A29"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41633A" w14:textId="77777777" w:rsidR="007355C5" w:rsidRDefault="00AC17C1">
            <w:r>
              <w:t>Data governance &amp; audit trail</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C889E76" w14:textId="77777777" w:rsidR="007355C5" w:rsidRDefault="00AC17C1">
            <w:r>
              <w:t>Microsoft Purview</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33C80A" w14:textId="77777777" w:rsidR="007355C5" w:rsidRDefault="00AC17C1">
            <w:r>
              <w:t>Track lineage and classification of operational data to support internal audit and regulatory review of automated decisions.</w:t>
            </w:r>
          </w:p>
        </w:tc>
      </w:tr>
      <w:tr w:rsidR="007355C5" w14:paraId="2D3CA341" w14:textId="77777777">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F42A8F" w14:textId="77777777" w:rsidR="007355C5" w:rsidRDefault="00AC17C1">
            <w:r>
              <w:t>Model governance &amp; monitoring</w:t>
            </w:r>
          </w:p>
        </w:tc>
        <w:tc>
          <w:tcPr>
            <w:tcW w:w="30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116440" w14:textId="77777777" w:rsidR="007355C5" w:rsidRDefault="00AC17C1">
            <w:r>
              <w:t>Azure AI Foundry Responsible AI dashboard; Azure Monitor</w:t>
            </w:r>
          </w:p>
        </w:tc>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93FBCD9" w14:textId="77777777" w:rsidR="007355C5" w:rsidRDefault="00AC17C1">
            <w:r>
              <w:t>Track matching accuracy, false-flag rates, and drift, feeding the AI/Model Inventory (Section 7.5).</w:t>
            </w:r>
          </w:p>
        </w:tc>
      </w:tr>
    </w:tbl>
    <w:p w14:paraId="0A4FC6F7" w14:textId="77777777" w:rsidR="007355C5" w:rsidRDefault="007355C5">
      <w:pPr>
        <w:spacing w:after="160"/>
      </w:pPr>
    </w:p>
    <w:p w14:paraId="319096BF" w14:textId="77777777" w:rsidR="007355C5" w:rsidRDefault="00AC17C1">
      <w:pPr>
        <w:pStyle w:val="Heading3"/>
      </w:pPr>
      <w:bookmarkStart w:id="98" w:name="_Toc241649760"/>
      <w:r>
        <w:t>17.5.4 Illustrative Solution Pattern</w:t>
      </w:r>
      <w:bookmarkEnd w:id="98"/>
    </w:p>
    <w:p w14:paraId="12F3ECE4" w14:textId="77777777" w:rsidR="007355C5" w:rsidRDefault="00AC17C1">
      <w:pPr>
        <w:spacing w:after="160"/>
      </w:pPr>
      <w:r>
        <w:t>A representative end-to-end flow on Azure:</w:t>
      </w:r>
    </w:p>
    <w:p w14:paraId="32D38F97" w14:textId="77777777" w:rsidR="007355C5" w:rsidRDefault="00AC17C1">
      <w:pPr>
        <w:pStyle w:val="ListParagraph"/>
        <w:numPr>
          <w:ilvl w:val="0"/>
          <w:numId w:val="3"/>
        </w:numPr>
        <w:spacing w:after="80"/>
      </w:pPr>
      <w:r>
        <w:t>Transactions, payments, and documents (checks, remittance advices, trade confirmations) flow through core systems, with Azure AI Document Intelligence extracting structured data from any remaining paper or PDF-based inputs.</w:t>
      </w:r>
    </w:p>
    <w:p w14:paraId="79386680" w14:textId="77777777" w:rsidR="007355C5" w:rsidRDefault="00AC17C1">
      <w:pPr>
        <w:pStyle w:val="ListParagraph"/>
        <w:numPr>
          <w:ilvl w:val="0"/>
          <w:numId w:val="3"/>
        </w:numPr>
        <w:spacing w:after="80"/>
      </w:pPr>
      <w:r>
        <w:t>Power Automate / Power Platform orchestrates straight-through processing workflows, routing anything that fails automated matching rules toward exception handling.</w:t>
      </w:r>
    </w:p>
    <w:p w14:paraId="03C123C1" w14:textId="77777777" w:rsidR="007355C5" w:rsidRDefault="00AC17C1">
      <w:pPr>
        <w:pStyle w:val="ListParagraph"/>
        <w:numPr>
          <w:ilvl w:val="0"/>
          <w:numId w:val="3"/>
        </w:numPr>
        <w:spacing w:after="80"/>
      </w:pPr>
      <w:r>
        <w:t>Machine learning-based reconciliation and anomaly detection (Azure Machine Learning, Azure AI Foundry) automatically matches the large majority of transactions and, for low-value, pre-authorized, and fully reversible reconciling entries within policy limits, may auto-post; all other matches and every true exception are flagged for human review before posting or settlement.</w:t>
      </w:r>
    </w:p>
    <w:p w14:paraId="23856248" w14:textId="77777777" w:rsidR="007355C5" w:rsidRDefault="00AC17C1">
      <w:pPr>
        <w:pStyle w:val="ListParagraph"/>
        <w:numPr>
          <w:ilvl w:val="0"/>
          <w:numId w:val="3"/>
        </w:numPr>
        <w:spacing w:after="80"/>
      </w:pPr>
      <w:r>
        <w:t>For flagged exceptions, an investigation copilot (Azure OpenAI Service / Azure AI Foundry Agent Service), grounded in operating procedures via Azure AI Search, pulls relevant records across systems, summarizes the probable root cause, and recommends a resolution path for the operations analyst to confirm and execute.</w:t>
      </w:r>
    </w:p>
    <w:p w14:paraId="4F181C5A" w14:textId="77777777" w:rsidR="007355C5" w:rsidRDefault="00AC17C1">
      <w:pPr>
        <w:pStyle w:val="ListParagraph"/>
        <w:numPr>
          <w:ilvl w:val="0"/>
          <w:numId w:val="3"/>
        </w:numPr>
        <w:spacing w:after="80"/>
      </w:pPr>
      <w:r>
        <w:t>Real-time processing telemetry (Microsoft Fabric Real-Time Intelligence, Azure Event Hubs) and Power BI dashboards give operations leaders live visibility into volumes, exception rates, and SLA performance.</w:t>
      </w:r>
    </w:p>
    <w:p w14:paraId="6B048B60" w14:textId="77777777" w:rsidR="007355C5" w:rsidRDefault="00AC17C1">
      <w:pPr>
        <w:pStyle w:val="ListParagraph"/>
        <w:numPr>
          <w:ilvl w:val="0"/>
          <w:numId w:val="3"/>
        </w:numPr>
        <w:spacing w:after="80"/>
      </w:pPr>
      <w:r>
        <w:t>Resolved exceptions and analyst feedback feed back into the matching and anomaly-detection models to continuously raise the straight-through processing rate.</w:t>
      </w:r>
    </w:p>
    <w:p w14:paraId="2863C42F" w14:textId="77777777" w:rsidR="007355C5" w:rsidRDefault="00AC17C1">
      <w:pPr>
        <w:pStyle w:val="ListParagraph"/>
        <w:numPr>
          <w:ilvl w:val="0"/>
          <w:numId w:val="3"/>
        </w:numPr>
        <w:spacing w:after="80"/>
      </w:pPr>
      <w:r>
        <w:lastRenderedPageBreak/>
        <w:t>All automation and AI components are registered in the AI/Model Inventory (Section 7.5), monitored per Section 16, with a full audit trail maintained via Microsoft Purview lineage.</w:t>
      </w:r>
    </w:p>
    <w:p w14:paraId="1669FE8B" w14:textId="77777777" w:rsidR="007355C5" w:rsidRDefault="00AC17C1">
      <w:pPr>
        <w:pStyle w:val="Heading3"/>
      </w:pPr>
      <w:bookmarkStart w:id="99" w:name="_Toc241649761"/>
      <w:r>
        <w:t>17.5.5 Business Benefits</w:t>
      </w:r>
      <w:bookmarkEnd w:id="9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0"/>
        <w:gridCol w:w="4260"/>
        <w:gridCol w:w="2750"/>
      </w:tblGrid>
      <w:tr w:rsidR="007355C5" w14:paraId="021389BA" w14:textId="77777777">
        <w:trPr>
          <w:tblHeader/>
        </w:trPr>
        <w:tc>
          <w:tcPr>
            <w:tcW w:w="23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B56C833" w14:textId="77777777" w:rsidR="007355C5" w:rsidRDefault="00AC17C1">
            <w:r>
              <w:rPr>
                <w:b/>
                <w:bCs/>
                <w:color w:val="FFFFFF"/>
              </w:rPr>
              <w:t>Benefit Category</w:t>
            </w:r>
          </w:p>
        </w:tc>
        <w:tc>
          <w:tcPr>
            <w:tcW w:w="42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B4B4516" w14:textId="77777777" w:rsidR="007355C5" w:rsidRDefault="00AC17C1">
            <w:r>
              <w:rPr>
                <w:b/>
                <w:bCs/>
                <w:color w:val="FFFFFF"/>
              </w:rPr>
              <w:t>Description</w:t>
            </w:r>
          </w:p>
        </w:tc>
        <w:tc>
          <w:tcPr>
            <w:tcW w:w="275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1A640E0" w14:textId="77777777" w:rsidR="007355C5" w:rsidRDefault="00AC17C1">
            <w:r>
              <w:rPr>
                <w:b/>
                <w:bCs/>
                <w:color w:val="FFFFFF"/>
              </w:rPr>
              <w:t>Illustrative Metric</w:t>
            </w:r>
          </w:p>
        </w:tc>
      </w:tr>
      <w:tr w:rsidR="007355C5" w14:paraId="5740A1F4"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974876" w14:textId="77777777" w:rsidR="007355C5" w:rsidRDefault="00AC17C1">
            <w:r>
              <w:t>Higher straight-through processing</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0C3B0EF" w14:textId="77777777" w:rsidR="007355C5" w:rsidRDefault="00AC17C1">
            <w:r>
              <w:t>More transactions are matched and settled automatically without manual touch.</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67980B" w14:textId="77777777" w:rsidR="007355C5" w:rsidRDefault="00AC17C1">
            <w:r>
              <w:t>% of transactions processed without manual intervention</w:t>
            </w:r>
          </w:p>
        </w:tc>
      </w:tr>
      <w:tr w:rsidR="007355C5" w14:paraId="4C6BD6A9"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92042D" w14:textId="77777777" w:rsidR="007355C5" w:rsidRDefault="00AC17C1">
            <w:r>
              <w:t>Faster exception resolution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B719D3" w14:textId="77777777" w:rsidR="007355C5" w:rsidRDefault="00AC17C1">
            <w:r>
              <w:t>The investigation copilot cuts the time to identify root cause and resolve an exception.</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668792" w14:textId="77777777" w:rsidR="007355C5" w:rsidRDefault="00AC17C1">
            <w:r>
              <w:t>Average exception resolution time</w:t>
            </w:r>
          </w:p>
        </w:tc>
      </w:tr>
      <w:tr w:rsidR="007355C5" w14:paraId="724AD50B"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16FD71" w14:textId="77777777" w:rsidR="007355C5" w:rsidRDefault="00AC17C1">
            <w:r>
              <w:t>Lower operating cost</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05AF0A" w14:textId="77777777" w:rsidR="007355C5" w:rsidRDefault="00AC17C1">
            <w:r>
              <w:t>Automation reduces cost-to-serve as transaction volume grows.</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190E6B" w14:textId="77777777" w:rsidR="007355C5" w:rsidRDefault="00AC17C1">
            <w:r>
              <w:t>Cost per transaction; operations FTE hours per volume</w:t>
            </w:r>
          </w:p>
        </w:tc>
      </w:tr>
      <w:tr w:rsidR="007355C5" w14:paraId="24D6F593"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DBED59" w14:textId="77777777" w:rsidR="007355C5" w:rsidRDefault="00AC17C1">
            <w:r>
              <w:t>Fewer errors</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2D4DF7" w14:textId="77777777" w:rsidR="007355C5" w:rsidRDefault="00AC17C1">
            <w:r>
              <w:t>Automated matching and data capture reduce manual re-keying errors.</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814E662" w14:textId="77777777" w:rsidR="007355C5" w:rsidRDefault="00AC17C1">
            <w:r>
              <w:t>Error / rework rate</w:t>
            </w:r>
          </w:p>
        </w:tc>
      </w:tr>
      <w:tr w:rsidR="007355C5" w14:paraId="4900A62A"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97D62D" w14:textId="77777777" w:rsidR="007355C5" w:rsidRDefault="00AC17C1">
            <w:r>
              <w:t>Better SLA performance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D006B05" w14:textId="77777777" w:rsidR="007355C5" w:rsidRDefault="00AC17C1">
            <w:r>
              <w:t>Real-time visibility and faster exception handling improve on-time settlement.</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165D28" w14:textId="77777777" w:rsidR="007355C5" w:rsidRDefault="00AC17C1">
            <w:r>
              <w:t>% of transactions settled within SLA</w:t>
            </w:r>
          </w:p>
        </w:tc>
      </w:tr>
      <w:tr w:rsidR="007355C5" w14:paraId="665B1DDF" w14:textId="77777777">
        <w:tc>
          <w:tcPr>
            <w:tcW w:w="23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F382E8" w14:textId="77777777" w:rsidR="007355C5" w:rsidRDefault="00AC17C1">
            <w:r>
              <w:t>Improved employee experience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0F1DC77" w14:textId="77777777" w:rsidR="007355C5" w:rsidRDefault="00AC17C1">
            <w:r>
              <w:t>Analysts spend less time on repetitive matching and more time on genuine exceptions.</w:t>
            </w:r>
          </w:p>
        </w:tc>
        <w:tc>
          <w:tcPr>
            <w:tcW w:w="275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9A3A770" w14:textId="77777777" w:rsidR="007355C5" w:rsidRDefault="00AC17C1">
            <w:r>
              <w:t>Operations attrition rate; redeployment to higher-value work</w:t>
            </w:r>
          </w:p>
        </w:tc>
      </w:tr>
    </w:tbl>
    <w:p w14:paraId="5095D7F7" w14:textId="77777777" w:rsidR="007355C5" w:rsidRDefault="007355C5">
      <w:pPr>
        <w:spacing w:after="160"/>
      </w:pPr>
    </w:p>
    <w:p w14:paraId="1F8B0469" w14:textId="77777777" w:rsidR="007355C5" w:rsidRDefault="00AC17C1">
      <w:pPr>
        <w:pStyle w:val="Heading3"/>
      </w:pPr>
      <w:bookmarkStart w:id="100" w:name="_Toc241649762"/>
      <w:r>
        <w:t>17.5.6 Data and Integration Requirements</w:t>
      </w:r>
      <w:bookmarkEnd w:id="100"/>
    </w:p>
    <w:p w14:paraId="3334F647" w14:textId="77777777" w:rsidR="007355C5" w:rsidRDefault="00AC17C1">
      <w:pPr>
        <w:pStyle w:val="ListParagraph"/>
        <w:numPr>
          <w:ilvl w:val="0"/>
          <w:numId w:val="2"/>
        </w:numPr>
        <w:spacing w:after="80"/>
      </w:pPr>
      <w:r>
        <w:t>Core banking, payment network, and general ledger transaction data.</w:t>
      </w:r>
    </w:p>
    <w:p w14:paraId="11D8DC3C" w14:textId="77777777" w:rsidR="007355C5" w:rsidRDefault="00AC17C1">
      <w:pPr>
        <w:pStyle w:val="ListParagraph"/>
        <w:numPr>
          <w:ilvl w:val="0"/>
          <w:numId w:val="2"/>
        </w:numPr>
        <w:spacing w:after="80"/>
      </w:pPr>
      <w:r>
        <w:t>Trade confirmations, remittance advices, checks, and other operational documents.</w:t>
      </w:r>
    </w:p>
    <w:p w14:paraId="4785A67D" w14:textId="77777777" w:rsidR="007355C5" w:rsidRDefault="00AC17C1">
      <w:pPr>
        <w:pStyle w:val="ListParagraph"/>
        <w:numPr>
          <w:ilvl w:val="0"/>
          <w:numId w:val="2"/>
        </w:numPr>
        <w:spacing w:after="80"/>
      </w:pPr>
      <w:r>
        <w:t>Historical exception-resolution data to train and validate matching and investigation models.</w:t>
      </w:r>
    </w:p>
    <w:p w14:paraId="6D50E831" w14:textId="77777777" w:rsidR="007355C5" w:rsidRDefault="00AC17C1">
      <w:pPr>
        <w:pStyle w:val="ListParagraph"/>
        <w:numPr>
          <w:ilvl w:val="0"/>
          <w:numId w:val="2"/>
        </w:numPr>
        <w:spacing w:after="80"/>
      </w:pPr>
      <w:r>
        <w:t>SLA definitions and volume data for operations dashboards.</w:t>
      </w:r>
    </w:p>
    <w:p w14:paraId="53E89763" w14:textId="77777777" w:rsidR="007355C5" w:rsidRDefault="00AC17C1">
      <w:pPr>
        <w:pStyle w:val="ListParagraph"/>
        <w:numPr>
          <w:ilvl w:val="0"/>
          <w:numId w:val="2"/>
        </w:numPr>
        <w:spacing w:after="80"/>
      </w:pPr>
      <w:r>
        <w:t>Data quality, classification, and lineage management via Microsoft Purview.</w:t>
      </w:r>
    </w:p>
    <w:p w14:paraId="1D0486E9" w14:textId="77777777" w:rsidR="007355C5" w:rsidRDefault="00AC17C1">
      <w:pPr>
        <w:pStyle w:val="Heading3"/>
      </w:pPr>
      <w:bookmarkStart w:id="101" w:name="_Toc241649763"/>
      <w:r>
        <w:t>17.5.7 Risk, Governance and Human Oversight Considerations</w:t>
      </w:r>
      <w:bookmarkEnd w:id="101"/>
    </w:p>
    <w:p w14:paraId="51B8593B" w14:textId="77777777" w:rsidR="007355C5" w:rsidRDefault="00AC17C1">
      <w:pPr>
        <w:pStyle w:val="ListParagraph"/>
        <w:numPr>
          <w:ilvl w:val="0"/>
          <w:numId w:val="2"/>
        </w:numPr>
        <w:spacing w:after="80"/>
      </w:pPr>
      <w:r>
        <w:rPr>
          <w:b/>
          <w:bCs/>
        </w:rPr>
        <w:t xml:space="preserve">Risk tier: </w:t>
      </w:r>
      <w:r>
        <w:t>Automation and matching tools that only recommend a resolution are generally Tier 2 under the Risk-Tiering Rubric (Section 7.6); any capability that can autonomously move money or settle a transaction without human confirmation is Tier 1 and requires Council approval, consistent with the fraud/AML deep dive in Section 17.1.</w:t>
      </w:r>
    </w:p>
    <w:p w14:paraId="28441C4E" w14:textId="77777777" w:rsidR="007355C5" w:rsidRDefault="00AC17C1">
      <w:pPr>
        <w:pStyle w:val="ListParagraph"/>
        <w:numPr>
          <w:ilvl w:val="0"/>
          <w:numId w:val="2"/>
        </w:numPr>
        <w:spacing w:after="80"/>
      </w:pPr>
      <w:r>
        <w:rPr>
          <w:b/>
          <w:bCs/>
        </w:rPr>
        <w:t xml:space="preserve">Human confirmation required: </w:t>
      </w:r>
      <w:r>
        <w:t>A human operations analyst must confirm and execute any AI-recommended action that moves money, adjusts an account, or settles a trade, except for pre-authorized, low-value, fully reversible reconciling entries that fall within policy limits approved by the AI Governance Council; those remain subject to audit sampling and can be escalated to full human review at any time.</w:t>
      </w:r>
    </w:p>
    <w:p w14:paraId="57FE9714" w14:textId="77777777" w:rsidR="007355C5" w:rsidRDefault="00AC17C1">
      <w:pPr>
        <w:pStyle w:val="ListParagraph"/>
        <w:numPr>
          <w:ilvl w:val="0"/>
          <w:numId w:val="2"/>
        </w:numPr>
        <w:spacing w:after="80"/>
      </w:pPr>
      <w:r>
        <w:rPr>
          <w:b/>
          <w:bCs/>
        </w:rPr>
        <w:t xml:space="preserve">Explainability and audit trail: </w:t>
      </w:r>
      <w:r>
        <w:t>Every automated match, flag, or recommendation must be explainable and traceable for internal audit and regulatory review.</w:t>
      </w:r>
    </w:p>
    <w:p w14:paraId="5CF6C3B0" w14:textId="77777777" w:rsidR="007355C5" w:rsidRDefault="00AC17C1">
      <w:pPr>
        <w:pStyle w:val="ListParagraph"/>
        <w:numPr>
          <w:ilvl w:val="0"/>
          <w:numId w:val="2"/>
        </w:numPr>
        <w:spacing w:after="80"/>
      </w:pPr>
      <w:r>
        <w:rPr>
          <w:b/>
          <w:bCs/>
        </w:rPr>
        <w:lastRenderedPageBreak/>
        <w:t xml:space="preserve">Change and drift monitoring: </w:t>
      </w:r>
      <w:r>
        <w:t>New payment types, formats, or counterparties can break existing matching rules; models must be monitored for drift per Section 16 and updated in a controlled, tested manner.</w:t>
      </w:r>
    </w:p>
    <w:p w14:paraId="01BE2696" w14:textId="77777777" w:rsidR="007355C5" w:rsidRDefault="00AC17C1">
      <w:pPr>
        <w:pStyle w:val="ListParagraph"/>
        <w:numPr>
          <w:ilvl w:val="0"/>
          <w:numId w:val="2"/>
        </w:numPr>
        <w:spacing w:after="80"/>
      </w:pPr>
      <w:r>
        <w:rPr>
          <w:b/>
          <w:bCs/>
        </w:rPr>
        <w:t xml:space="preserve">Business continuity: </w:t>
      </w:r>
      <w:r>
        <w:t>The bank should maintain tested manual fallback procedures for critical processing functions in case of automation or platform outage, consistent with Sections 12–13 (Incident Response; Vendor Risk).</w:t>
      </w:r>
    </w:p>
    <w:p w14:paraId="76DAEE54" w14:textId="77777777" w:rsidR="007355C5" w:rsidRDefault="00AC17C1">
      <w:pPr>
        <w:pStyle w:val="ListParagraph"/>
        <w:numPr>
          <w:ilvl w:val="0"/>
          <w:numId w:val="2"/>
        </w:numPr>
        <w:spacing w:after="80"/>
      </w:pPr>
      <w:r>
        <w:rPr>
          <w:b/>
          <w:bCs/>
        </w:rPr>
        <w:t xml:space="preserve">Inventory and monitoring: </w:t>
      </w:r>
      <w:r>
        <w:t>Every automation and AI component is registered in the AI/Model Inventory (Section 7.5) and monitored for accuracy and false-flag rate per Section 16.</w:t>
      </w:r>
    </w:p>
    <w:p w14:paraId="47F6024E" w14:textId="77777777" w:rsidR="007355C5" w:rsidRDefault="00AC17C1">
      <w:pPr>
        <w:pStyle w:val="Heading3"/>
      </w:pPr>
      <w:bookmarkStart w:id="102" w:name="_Toc241649764"/>
      <w:r>
        <w:t>17.5.8 Success Metrics (KPIs)</w:t>
      </w:r>
      <w:bookmarkEnd w:id="102"/>
    </w:p>
    <w:p w14:paraId="43C34992" w14:textId="77777777" w:rsidR="007355C5" w:rsidRDefault="00AC17C1">
      <w:pPr>
        <w:pStyle w:val="ListParagraph"/>
        <w:numPr>
          <w:ilvl w:val="0"/>
          <w:numId w:val="2"/>
        </w:numPr>
        <w:spacing w:after="80"/>
      </w:pPr>
      <w:r>
        <w:t>Straight-through processing rate.</w:t>
      </w:r>
    </w:p>
    <w:p w14:paraId="35EA3AB5" w14:textId="77777777" w:rsidR="007355C5" w:rsidRDefault="00AC17C1">
      <w:pPr>
        <w:pStyle w:val="ListParagraph"/>
        <w:numPr>
          <w:ilvl w:val="0"/>
          <w:numId w:val="2"/>
        </w:numPr>
        <w:spacing w:after="80"/>
      </w:pPr>
      <w:r>
        <w:t>Average exception resolution time.</w:t>
      </w:r>
    </w:p>
    <w:p w14:paraId="75DB1555" w14:textId="77777777" w:rsidR="007355C5" w:rsidRDefault="00AC17C1">
      <w:pPr>
        <w:pStyle w:val="ListParagraph"/>
        <w:numPr>
          <w:ilvl w:val="0"/>
          <w:numId w:val="2"/>
        </w:numPr>
        <w:spacing w:after="80"/>
      </w:pPr>
      <w:r>
        <w:t>Cost per transaction and operations FTE hours per volume.</w:t>
      </w:r>
    </w:p>
    <w:p w14:paraId="70CE4713" w14:textId="77777777" w:rsidR="007355C5" w:rsidRDefault="00AC17C1">
      <w:pPr>
        <w:pStyle w:val="ListParagraph"/>
        <w:numPr>
          <w:ilvl w:val="0"/>
          <w:numId w:val="2"/>
        </w:numPr>
        <w:spacing w:after="80"/>
      </w:pPr>
      <w:r>
        <w:t>Error / rework rate.</w:t>
      </w:r>
    </w:p>
    <w:p w14:paraId="3489A501" w14:textId="77777777" w:rsidR="007355C5" w:rsidRDefault="00AC17C1">
      <w:pPr>
        <w:pStyle w:val="ListParagraph"/>
        <w:numPr>
          <w:ilvl w:val="0"/>
          <w:numId w:val="2"/>
        </w:numPr>
        <w:spacing w:after="80"/>
      </w:pPr>
      <w:r>
        <w:t>Percentage of transactions settled within SLA.</w:t>
      </w:r>
    </w:p>
    <w:p w14:paraId="1F8BF001" w14:textId="77777777" w:rsidR="007355C5" w:rsidRDefault="00AC17C1">
      <w:pPr>
        <w:pStyle w:val="ListParagraph"/>
        <w:numPr>
          <w:ilvl w:val="0"/>
          <w:numId w:val="2"/>
        </w:numPr>
        <w:spacing w:after="80"/>
      </w:pPr>
      <w:r>
        <w:t>Operations attrition rate and share of FTEs redeployed to higher-value work.</w:t>
      </w:r>
    </w:p>
    <w:p w14:paraId="56832BA1" w14:textId="77777777" w:rsidR="007355C5" w:rsidRDefault="00AC17C1">
      <w:pPr>
        <w:pStyle w:val="Heading3"/>
      </w:pPr>
      <w:bookmarkStart w:id="103" w:name="_Toc241649765"/>
      <w:r>
        <w:t>17.5.9 Sample Business Case Outline</w:t>
      </w:r>
      <w:bookmarkEnd w:id="103"/>
    </w:p>
    <w:p w14:paraId="012DB475" w14:textId="77777777" w:rsidR="007355C5" w:rsidRDefault="00AC17C1">
      <w:pPr>
        <w:spacing w:after="160"/>
      </w:pPr>
      <w:r>
        <w:t>Following the same reusable template introduced in Section 17.1.9:</w:t>
      </w:r>
    </w:p>
    <w:p w14:paraId="51708E5F" w14:textId="77777777" w:rsidR="007355C5" w:rsidRDefault="00AC17C1">
      <w:pPr>
        <w:pStyle w:val="ListParagraph"/>
        <w:numPr>
          <w:ilvl w:val="0"/>
          <w:numId w:val="2"/>
        </w:numPr>
        <w:spacing w:after="80"/>
      </w:pPr>
      <w:r>
        <w:rPr>
          <w:b/>
          <w:bCs/>
        </w:rPr>
        <w:t xml:space="preserve">Problem statement: </w:t>
      </w:r>
      <w:r>
        <w:t>Current-state straight-through processing rate, exception volume, and cost per transaction.</w:t>
      </w:r>
    </w:p>
    <w:p w14:paraId="6612B03F" w14:textId="77777777" w:rsidR="007355C5" w:rsidRDefault="00AC17C1">
      <w:pPr>
        <w:pStyle w:val="ListParagraph"/>
        <w:numPr>
          <w:ilvl w:val="0"/>
          <w:numId w:val="2"/>
        </w:numPr>
        <w:spacing w:after="80"/>
      </w:pPr>
      <w:r>
        <w:rPr>
          <w:b/>
          <w:bCs/>
        </w:rPr>
        <w:t xml:space="preserve">Target state: </w:t>
      </w:r>
      <w:r>
        <w:t>Expected straight-through processing rate improvement, exception resolution time reduction, and cost savings.</w:t>
      </w:r>
    </w:p>
    <w:p w14:paraId="76004F1A" w14:textId="77777777" w:rsidR="007355C5" w:rsidRDefault="00AC17C1">
      <w:pPr>
        <w:pStyle w:val="ListParagraph"/>
        <w:numPr>
          <w:ilvl w:val="0"/>
          <w:numId w:val="2"/>
        </w:numPr>
        <w:spacing w:after="80"/>
      </w:pPr>
      <w:r>
        <w:rPr>
          <w:b/>
          <w:bCs/>
        </w:rPr>
        <w:t xml:space="preserve">Investment ask: </w:t>
      </w:r>
      <w:r>
        <w:t>Platform, model development, integration, and change-management costs.</w:t>
      </w:r>
    </w:p>
    <w:p w14:paraId="04E7A012" w14:textId="77777777" w:rsidR="007355C5" w:rsidRDefault="00AC17C1">
      <w:pPr>
        <w:pStyle w:val="ListParagraph"/>
        <w:numPr>
          <w:ilvl w:val="0"/>
          <w:numId w:val="2"/>
        </w:numPr>
        <w:spacing w:after="80"/>
      </w:pPr>
      <w:r>
        <w:rPr>
          <w:b/>
          <w:bCs/>
        </w:rPr>
        <w:t xml:space="preserve">Timeline: </w:t>
      </w:r>
      <w:r>
        <w:t>Aligned to the phased deployment approach in Section 5.3 (pilot, scale, industrialize).</w:t>
      </w:r>
    </w:p>
    <w:p w14:paraId="44F47D53" w14:textId="77777777" w:rsidR="007355C5" w:rsidRDefault="00AC17C1">
      <w:pPr>
        <w:pStyle w:val="ListParagraph"/>
        <w:numPr>
          <w:ilvl w:val="0"/>
          <w:numId w:val="2"/>
        </w:numPr>
        <w:spacing w:after="80"/>
      </w:pPr>
      <w:r>
        <w:rPr>
          <w:b/>
          <w:bCs/>
        </w:rPr>
        <w:t xml:space="preserve">Owner and sponsor: </w:t>
      </w:r>
      <w:r>
        <w:t>Accountable business owner and executive sponsor, per the RACI in Section 5.5.</w:t>
      </w:r>
    </w:p>
    <w:p w14:paraId="7278A820" w14:textId="77777777" w:rsidR="007355C5" w:rsidRDefault="00AC17C1">
      <w:pPr>
        <w:pBdr>
          <w:left w:val="single" w:sz="12" w:space="8" w:color="B00020"/>
        </w:pBdr>
        <w:spacing w:before="80" w:after="200"/>
        <w:ind w:left="200"/>
      </w:pPr>
      <w:r>
        <w:rPr>
          <w:i/>
          <w:iCs/>
          <w:color w:val="B00020"/>
        </w:rPr>
        <w:t>[PLACEHOLDER — Institution-specific baseline metrics, investment figures, and timeline for the Operations &amp; Back-Office Processing business case]</w:t>
      </w:r>
    </w:p>
    <w:p w14:paraId="19D6BEB3" w14:textId="77777777" w:rsidR="007355C5" w:rsidRDefault="00AC17C1">
      <w:pPr>
        <w:spacing w:after="160"/>
      </w:pPr>
      <w:r>
        <w:t>This completes the five department deep dives introduced in Section 4 (Fraud, Financial Crime &amp; AML; Customer Service &amp; Engagement; Credit Risk &amp; Underwriting; Compliance &amp; Regulatory Reporting; and Operations &amp; Back-Office Processing). Each follows the same nine-part template so they remain comparable and can be refreshed independently as Azure capabilities and the bank's own program mature.</w:t>
      </w:r>
    </w:p>
    <w:p w14:paraId="5E5EA23B" w14:textId="77777777" w:rsidR="007355C5" w:rsidRDefault="00AC17C1">
      <w:r>
        <w:br w:type="page"/>
      </w:r>
    </w:p>
    <w:p w14:paraId="6F829D07" w14:textId="77777777" w:rsidR="007355C5" w:rsidRDefault="00AC17C1">
      <w:pPr>
        <w:pStyle w:val="Heading1"/>
      </w:pPr>
      <w:bookmarkStart w:id="104" w:name="_Toc241649766"/>
      <w:r>
        <w:lastRenderedPageBreak/>
        <w:t>18. First 90 Days: Implementation Roadmap</w:t>
      </w:r>
      <w:bookmarkEnd w:id="104"/>
    </w:p>
    <w:p w14:paraId="00CF0F75" w14:textId="77777777" w:rsidR="007355C5" w:rsidRDefault="00AC17C1">
      <w:pPr>
        <w:spacing w:after="160"/>
      </w:pPr>
      <w:r>
        <w:t>This section operationalizes the Foundation phase of the Phased Roadmap (Section 5.3, Months 0–6) into a concrete, week-by-week first-90-day plan. It is written to be the first thing a newly appointed executive sponsor (e.g., a Chief AI Officer) hands to their team on day one. The 90 days end with governance seated and operating, a secure Azure landing zone live, the AI/Model Inventory stood up, and the first low-risk pilot(s) safely underway — not with AI already running unsupervised in production. Every a</w:t>
      </w:r>
      <w:r>
        <w:t>ctivity below cross-references the playbook section that defines it in full.</w:t>
      </w:r>
    </w:p>
    <w:p w14:paraId="22909D00" w14:textId="77777777" w:rsidR="007355C5" w:rsidRDefault="00AC17C1">
      <w:pPr>
        <w:pStyle w:val="Heading2"/>
      </w:pPr>
      <w:bookmarkStart w:id="105" w:name="_Toc241649767"/>
      <w:r>
        <w:t>18.1 Exit Criteria for Day 90</w:t>
      </w:r>
      <w:bookmarkEnd w:id="105"/>
    </w:p>
    <w:p w14:paraId="20E3C3E6" w14:textId="77777777" w:rsidR="007355C5" w:rsidRDefault="00AC17C1">
      <w:pPr>
        <w:spacing w:after="160"/>
      </w:pPr>
      <w:r>
        <w:t>The 90-day plan is complete when all of the following are true. If any are not yet true at Day 90, extend the Foundation phase rather than proceeding to Scale Early Wins (Section 5.3).</w:t>
      </w:r>
    </w:p>
    <w:p w14:paraId="5CDF04B0" w14:textId="77777777" w:rsidR="007355C5" w:rsidRDefault="00AC17C1">
      <w:pPr>
        <w:pStyle w:val="ListParagraph"/>
        <w:numPr>
          <w:ilvl w:val="0"/>
          <w:numId w:val="2"/>
        </w:numPr>
        <w:spacing w:after="80"/>
      </w:pPr>
      <w:r>
        <w:t>The AI Governance Council (Section 7.4) is chartered, staffed, and has held at least two scheduled meetings, including a formal production-readiness review.</w:t>
      </w:r>
    </w:p>
    <w:p w14:paraId="72C3C9FC" w14:textId="77777777" w:rsidR="007355C5" w:rsidRDefault="00AC17C1">
      <w:pPr>
        <w:pStyle w:val="ListParagraph"/>
        <w:numPr>
          <w:ilvl w:val="0"/>
          <w:numId w:val="2"/>
        </w:numPr>
        <w:spacing w:after="80"/>
      </w:pPr>
      <w:r>
        <w:t>A security baseline for AI workloads is live: Microsoft Entra ID conditional access and least-privilege roles, Azure Policy guardrails, Microsoft Defender for Cloud coverage, and Microsoft Sentinel monitoring for the AI landing zone (Section 6).</w:t>
      </w:r>
    </w:p>
    <w:p w14:paraId="5C28BC3C" w14:textId="77777777" w:rsidR="007355C5" w:rsidRDefault="00AC17C1">
      <w:pPr>
        <w:pStyle w:val="ListParagraph"/>
        <w:numPr>
          <w:ilvl w:val="0"/>
          <w:numId w:val="2"/>
        </w:numPr>
        <w:spacing w:after="80"/>
      </w:pPr>
      <w:r>
        <w:t>The AI/Model Inventory (Section 7.5) is stood up as a live system of record, with all known existing AI/ML use cases (including shadow AI discovered via attestation) backfilled or in progress.</w:t>
      </w:r>
    </w:p>
    <w:p w14:paraId="21CA3505" w14:textId="77777777" w:rsidR="007355C5" w:rsidRDefault="00AC17C1">
      <w:pPr>
        <w:pStyle w:val="ListParagraph"/>
        <w:numPr>
          <w:ilvl w:val="0"/>
          <w:numId w:val="2"/>
        </w:numPr>
        <w:spacing w:after="80"/>
      </w:pPr>
      <w:r>
        <w:t>The Risk-Tiering Rubric (Section 7.6) has been applied to every known use case, including the selected pilot(s).</w:t>
      </w:r>
    </w:p>
    <w:p w14:paraId="6560D7E2" w14:textId="77777777" w:rsidR="007355C5" w:rsidRDefault="00AC17C1">
      <w:pPr>
        <w:pStyle w:val="ListParagraph"/>
        <w:numPr>
          <w:ilvl w:val="0"/>
          <w:numId w:val="2"/>
        </w:numPr>
        <w:spacing w:after="80"/>
      </w:pPr>
      <w:r>
        <w:t>A secure Azure landing zone (Section 5.2) is deployed and available for use.</w:t>
      </w:r>
    </w:p>
    <w:p w14:paraId="4F46D57D" w14:textId="77777777" w:rsidR="007355C5" w:rsidRDefault="00AC17C1">
      <w:pPr>
        <w:pStyle w:val="ListParagraph"/>
        <w:numPr>
          <w:ilvl w:val="0"/>
          <w:numId w:val="2"/>
        </w:numPr>
        <w:spacing w:after="80"/>
      </w:pPr>
      <w:r>
        <w:t>At least one pilot use case has completed intake (Section 5.4), a build/buy/partner decision (Section 5.6), and is either in controlled testing or has launched with guardrails, monitoring, and a rollback plan.</w:t>
      </w:r>
    </w:p>
    <w:p w14:paraId="6B78F4D3" w14:textId="77777777" w:rsidR="007355C5" w:rsidRDefault="00AC17C1">
      <w:pPr>
        <w:pStyle w:val="ListParagraph"/>
        <w:numPr>
          <w:ilvl w:val="0"/>
          <w:numId w:val="2"/>
        </w:numPr>
        <w:spacing w:after="80"/>
      </w:pPr>
      <w:r>
        <w:t>A named legal/compliance owner has confirmed the applicable regulatory regime(s) for the bank's jurisdictions (Section 10) and reviewed the pilot(s) against them.</w:t>
      </w:r>
    </w:p>
    <w:p w14:paraId="1A552962" w14:textId="77777777" w:rsidR="007355C5" w:rsidRDefault="00AC17C1">
      <w:pPr>
        <w:pStyle w:val="Heading2"/>
      </w:pPr>
      <w:bookmarkStart w:id="106" w:name="_Toc241649768"/>
      <w:r>
        <w:t>18.2 Days 1–30: Governance, Security, and Foundation</w:t>
      </w:r>
      <w:bookmarkEnd w:id="106"/>
    </w:p>
    <w:p w14:paraId="50214947" w14:textId="77777777" w:rsidR="007355C5" w:rsidRDefault="00AC17C1">
      <w:pPr>
        <w:spacing w:after="160"/>
      </w:pPr>
      <w:r>
        <w:t>The first 30 days are about standing up the “AI board” and its supporting controls before any model reaches production — governance and security come first, not after the fact.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2"/>
        <w:gridCol w:w="4198"/>
        <w:gridCol w:w="1585"/>
        <w:gridCol w:w="1785"/>
      </w:tblGrid>
      <w:tr w:rsidR="007355C5" w14:paraId="15168E1A" w14:textId="77777777">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804F6DF" w14:textId="77777777" w:rsidR="007355C5" w:rsidRDefault="00AC17C1">
            <w:r>
              <w:rPr>
                <w:b/>
                <w:bCs/>
                <w:color w:val="FFFFFF"/>
              </w:rPr>
              <w:t>Workstream</w:t>
            </w:r>
          </w:p>
        </w:tc>
        <w:tc>
          <w:tcPr>
            <w:tcW w:w="42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17F86D3" w14:textId="77777777" w:rsidR="007355C5" w:rsidRDefault="00AC17C1">
            <w:r>
              <w:rPr>
                <w:b/>
                <w:bCs/>
                <w:color w:val="FFFFFF"/>
              </w:rPr>
              <w:t>Key Activities</w:t>
            </w:r>
          </w:p>
        </w:tc>
        <w:tc>
          <w:tcPr>
            <w:tcW w:w="1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464473B" w14:textId="77777777" w:rsidR="007355C5" w:rsidRDefault="00AC17C1">
            <w:r>
              <w:rPr>
                <w:b/>
                <w:bCs/>
                <w:color w:val="FFFFFF"/>
              </w:rPr>
              <w:t>Primary Owner</w:t>
            </w:r>
          </w:p>
        </w:tc>
        <w:tc>
          <w:tcPr>
            <w:tcW w:w="1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460DA8EE" w14:textId="77777777" w:rsidR="007355C5" w:rsidRDefault="00AC17C1">
            <w:r>
              <w:rPr>
                <w:b/>
                <w:bCs/>
                <w:color w:val="FFFFFF"/>
              </w:rPr>
              <w:t>Playbook Reference</w:t>
            </w:r>
          </w:p>
        </w:tc>
      </w:tr>
      <w:tr w:rsidR="007355C5" w14:paraId="2530AA1F"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56348B" w14:textId="77777777" w:rsidR="007355C5" w:rsidRDefault="00AC17C1">
            <w:r>
              <w:t>Governance (“AI board”)</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2A7BB6" w14:textId="77777777" w:rsidR="007355C5" w:rsidRDefault="00AC17C1">
            <w:r>
              <w:t>Charter and staff the AI Governance Council: appoint the CAIO as chair and name voting members from Risk, Compliance/Legal, Information Security, Technology, and business-line leadership, with Internal Audit as a standing observer. Hold the kickoff meeting to ratify the charter and cadence.</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BD8A5F8" w14:textId="77777777" w:rsidR="007355C5" w:rsidRDefault="00AC17C1">
            <w:r>
              <w:t>CAIO / Executive Sponsor</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64056A" w14:textId="77777777" w:rsidR="007355C5" w:rsidRDefault="00AC17C1">
            <w:r>
              <w:t>Section 7.4</w:t>
            </w:r>
          </w:p>
        </w:tc>
      </w:tr>
      <w:tr w:rsidR="007355C5" w14:paraId="3EA23FB6"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FB2F6B" w14:textId="77777777" w:rsidR="007355C5" w:rsidRDefault="00AC17C1">
            <w:r>
              <w:lastRenderedPageBreak/>
              <w:t>Security baseline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56F2A2" w14:textId="77777777" w:rsidR="007355C5" w:rsidRDefault="00AC17C1">
            <w:r>
              <w:t>Stand up Microsoft Entra ID conditional access policies and least-privilege roles for AI workloads; enable Azure Policy guardrails, Microsoft Defender for Cloud, and Microsoft Sentinel monitoring scoped to the future AI landing zone.</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A73E18" w14:textId="77777777" w:rsidR="007355C5" w:rsidRDefault="00AC17C1">
            <w:r>
              <w:t>CISO / Security</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05E155" w14:textId="77777777" w:rsidR="007355C5" w:rsidRDefault="00AC17C1">
            <w:r>
              <w:t>Section 6</w:t>
            </w:r>
          </w:p>
        </w:tc>
      </w:tr>
      <w:tr w:rsidR="007355C5" w14:paraId="0813A21D"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730E0B" w14:textId="77777777" w:rsidR="007355C5" w:rsidRDefault="00AC17C1">
            <w:r>
              <w:t>Inventory &amp; risk tiering</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EEAF89" w14:textId="77777777" w:rsidR="007355C5" w:rsidRDefault="00AC17C1">
            <w:r>
              <w:t>Stand up the AI/Model Inventory shell (GRC tool); launch the business-line attestation process to surface existing and shadow AI; begin applying the Risk-Tiering Rubric to everything found.</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D0F835" w14:textId="77777777" w:rsidR="007355C5" w:rsidRDefault="00AC17C1">
            <w:r>
              <w:t>AI Governance Council / CAIO</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CED023" w14:textId="77777777" w:rsidR="007355C5" w:rsidRDefault="00AC17C1">
            <w:r>
              <w:t>Sections 7.5, 7.6</w:t>
            </w:r>
          </w:p>
        </w:tc>
      </w:tr>
      <w:tr w:rsidR="007355C5" w14:paraId="01C73868"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3EEC60" w14:textId="77777777" w:rsidR="007355C5" w:rsidRDefault="00AC17C1">
            <w:r>
              <w:t>Regulatory scan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FF27C5" w14:textId="77777777" w:rsidR="007355C5" w:rsidRDefault="00AC17C1">
            <w:r>
              <w:t>Assign a named legal/compliance owner; confirm applicable regimes for the bank's legal entities, products, and jurisdictions using the regulatory map and applicability matrix.</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A58502" w14:textId="77777777" w:rsidR="007355C5" w:rsidRDefault="00AC17C1">
            <w:r>
              <w:t>Legal / Compliance</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EC92C5" w14:textId="77777777" w:rsidR="007355C5" w:rsidRDefault="00AC17C1">
            <w:r>
              <w:t>Sections 10, 10.5</w:t>
            </w:r>
          </w:p>
        </w:tc>
      </w:tr>
      <w:tr w:rsidR="007355C5" w14:paraId="4A42F9E8"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2CBA108" w14:textId="77777777" w:rsidR="007355C5" w:rsidRDefault="00AC17C1">
            <w:r>
              <w:t>Data &amp; platform readiness</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8ED9309" w14:textId="77777777" w:rsidR="007355C5" w:rsidRDefault="00AC17C1">
            <w:r>
              <w:t>Assess data availability, quality, lineage, and consent for candidate pilot use cases via Microsoft Purview; confirm Azure subscription/landing zone design.</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2EBD06" w14:textId="77777777" w:rsidR="007355C5" w:rsidRDefault="00AC17C1">
            <w:r>
              <w:t>Data/Platform Lead</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5167995" w14:textId="77777777" w:rsidR="007355C5" w:rsidRDefault="00AC17C1">
            <w:r>
              <w:t>Section 5.2</w:t>
            </w:r>
          </w:p>
        </w:tc>
      </w:tr>
      <w:tr w:rsidR="007355C5" w14:paraId="2CDA3BDF"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67A1CA4" w14:textId="77777777" w:rsidR="007355C5" w:rsidRDefault="00AC17C1">
            <w:r>
              <w:t>Pilot selection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5A96D83" w14:textId="77777777" w:rsidR="007355C5" w:rsidRDefault="00AC17C1">
            <w:r>
              <w:t>Shortlist 2–3 candidate pilots from Section 4/17 (favor low risk-tier, high visibility, e.g., fraud alert triage or agent-assist); begin intake (business case, risk screen) for each.</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DAFB55" w14:textId="77777777" w:rsidR="007355C5" w:rsidRDefault="00AC17C1">
            <w:r>
              <w:t>CAIO / Business Sponsors</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E89CF5" w14:textId="77777777" w:rsidR="007355C5" w:rsidRDefault="00AC17C1">
            <w:r>
              <w:t>Sections 4, 5.4</w:t>
            </w:r>
          </w:p>
        </w:tc>
      </w:tr>
    </w:tbl>
    <w:p w14:paraId="4B379DD2" w14:textId="77777777" w:rsidR="007355C5" w:rsidRDefault="00AC17C1">
      <w:pPr>
        <w:pStyle w:val="Heading2"/>
      </w:pPr>
      <w:bookmarkStart w:id="107" w:name="_Toc241649769"/>
      <w:r>
        <w:t>18.3 Days 31–60: Platform Build-Out and Pilot Readiness</w:t>
      </w:r>
      <w:bookmarkEnd w:id="10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4"/>
        <w:gridCol w:w="3527"/>
        <w:gridCol w:w="2295"/>
        <w:gridCol w:w="1634"/>
      </w:tblGrid>
      <w:tr w:rsidR="007355C5" w14:paraId="5ABCB768" w14:textId="77777777">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FAE69E4" w14:textId="77777777" w:rsidR="007355C5" w:rsidRDefault="00AC17C1">
            <w:r>
              <w:rPr>
                <w:b/>
                <w:bCs/>
                <w:color w:val="FFFFFF"/>
              </w:rPr>
              <w:t>Workstream</w:t>
            </w:r>
          </w:p>
        </w:tc>
        <w:tc>
          <w:tcPr>
            <w:tcW w:w="42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5121192F" w14:textId="77777777" w:rsidR="007355C5" w:rsidRDefault="00AC17C1">
            <w:r>
              <w:rPr>
                <w:b/>
                <w:bCs/>
                <w:color w:val="FFFFFF"/>
              </w:rPr>
              <w:t>Key Activities</w:t>
            </w:r>
          </w:p>
        </w:tc>
        <w:tc>
          <w:tcPr>
            <w:tcW w:w="1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DCFF33E" w14:textId="77777777" w:rsidR="007355C5" w:rsidRDefault="00AC17C1">
            <w:r>
              <w:rPr>
                <w:b/>
                <w:bCs/>
                <w:color w:val="FFFFFF"/>
              </w:rPr>
              <w:t>Primary Owner</w:t>
            </w:r>
          </w:p>
        </w:tc>
        <w:tc>
          <w:tcPr>
            <w:tcW w:w="1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2DB38331" w14:textId="77777777" w:rsidR="007355C5" w:rsidRDefault="00AC17C1">
            <w:r>
              <w:rPr>
                <w:b/>
                <w:bCs/>
                <w:color w:val="FFFFFF"/>
              </w:rPr>
              <w:t>Playbook Reference</w:t>
            </w:r>
          </w:p>
        </w:tc>
      </w:tr>
      <w:tr w:rsidR="007355C5" w14:paraId="79120859"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D4EAFF" w14:textId="77777777" w:rsidR="007355C5" w:rsidRDefault="00AC17C1">
            <w:r>
              <w:t>Landing zone deployment</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74806C9" w14:textId="77777777" w:rsidR="007355C5" w:rsidRDefault="00AC17C1">
            <w:r>
              <w:t>Deploy the secure Azure landing zone: Azure AI Foundry, Azure Machine Learning, Microsoft Fabric, Microsoft Purview, and networking/identity guardrails, aligned to the reference architecture.</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39382B" w14:textId="77777777" w:rsidR="007355C5" w:rsidRDefault="00AC17C1">
            <w:r>
              <w:t>Platform/Engineering Lead</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2C99B7" w14:textId="77777777" w:rsidR="007355C5" w:rsidRDefault="00AC17C1">
            <w:r>
              <w:t>Section 5.2</w:t>
            </w:r>
          </w:p>
        </w:tc>
      </w:tr>
      <w:tr w:rsidR="007355C5" w14:paraId="6F0F9AE4"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D73CBC" w14:textId="77777777" w:rsidR="007355C5" w:rsidRDefault="00AC17C1">
            <w:r>
              <w:t>Build/buy/partner decision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41E29F" w14:textId="77777777" w:rsidR="007355C5" w:rsidRDefault="00AC17C1">
            <w:r>
              <w:t>Run the shortlisted pilot(s) through the Build vs. Buy vs. Partner Decision Framework; complete vendor due diligence for any buy/partner path.</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9FBDF0" w14:textId="77777777" w:rsidR="007355C5" w:rsidRDefault="00AC17C1">
            <w:r>
              <w:t>CAIO / Procurement</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846614C" w14:textId="77777777" w:rsidR="007355C5" w:rsidRDefault="00AC17C1">
            <w:r>
              <w:t>Sections 5.6, 13</w:t>
            </w:r>
          </w:p>
        </w:tc>
      </w:tr>
      <w:tr w:rsidR="007355C5" w14:paraId="64DEA76A"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B612EA" w14:textId="77777777" w:rsidR="007355C5" w:rsidRDefault="00AC17C1">
            <w:r>
              <w:lastRenderedPageBreak/>
              <w:t>Council cadence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007F0A" w14:textId="77777777" w:rsidR="007355C5" w:rsidRDefault="00AC17C1">
            <w:r>
              <w:t>Second Council meeting: approve the selected pilot(s) for controlled testing, review inventory backfill progress, and confirm risk tiers.</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61668EA" w14:textId="77777777" w:rsidR="007355C5" w:rsidRDefault="00AC17C1">
            <w:r>
              <w:t>AI Governance Council</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C3C163" w14:textId="77777777" w:rsidR="007355C5" w:rsidRDefault="00AC17C1">
            <w:r>
              <w:t>Section 7.4</w:t>
            </w:r>
          </w:p>
        </w:tc>
      </w:tr>
      <w:tr w:rsidR="007355C5" w14:paraId="40B66D67"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C96D0A" w14:textId="77777777" w:rsidR="007355C5" w:rsidRDefault="00AC17C1">
            <w:r>
              <w:t>Monitoring &amp; incident response tie-in</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669092C" w14:textId="77777777" w:rsidR="007355C5" w:rsidRDefault="00AC17C1">
            <w:r>
              <w:t>Stand up baseline monitoring dashboards (Azure Monitor, Microsoft Sentinel) for the landing zone and confirm the AI incident response path into the bank's existing incident management process.</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691D671" w14:textId="77777777" w:rsidR="007355C5" w:rsidRDefault="00AC17C1">
            <w:r>
              <w:t>Security / Platform Lead</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DC97C1" w14:textId="77777777" w:rsidR="007355C5" w:rsidRDefault="00AC17C1">
            <w:r>
              <w:t>Sections 6, 12, 16</w:t>
            </w:r>
          </w:p>
        </w:tc>
      </w:tr>
      <w:tr w:rsidR="007355C5" w14:paraId="2BA65744"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8FDB4A" w14:textId="77777777" w:rsidR="007355C5" w:rsidRDefault="00AC17C1">
            <w:r>
              <w:t>Model build &amp; validation kickoff</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6DC7BAC" w14:textId="77777777" w:rsidR="007355C5" w:rsidRDefault="00AC17C1">
            <w:r>
              <w:t>Begin build (or vendor integration) and independent Model Risk Management validation for the lowest-risk pilot per Section 7.2 standards.</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8174DE" w14:textId="77777777" w:rsidR="007355C5" w:rsidRDefault="00AC17C1">
            <w:r>
              <w:t>Model Owner / MRM</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6D1409" w14:textId="77777777" w:rsidR="007355C5" w:rsidRDefault="00AC17C1">
            <w:r>
              <w:t>Section 7.2</w:t>
            </w:r>
          </w:p>
        </w:tc>
      </w:tr>
      <w:tr w:rsidR="007355C5" w14:paraId="6533B6B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6E95CF" w14:textId="77777777" w:rsidR="007355C5" w:rsidRDefault="00AC17C1">
            <w:r>
              <w:t>Change management</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75F253" w14:textId="77777777" w:rsidR="007355C5" w:rsidRDefault="00AC17C1">
            <w:r>
              <w:t>Begin training and communication for the business unit that will run the first pilot, including escalation paths and how to challenge/override an AI recommendation.</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DE48F9" w14:textId="77777777" w:rsidR="007355C5" w:rsidRDefault="00AC17C1">
            <w:r>
              <w:t>Business Sponsor / HR</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A244BC" w14:textId="77777777" w:rsidR="007355C5" w:rsidRDefault="00AC17C1">
            <w:r>
              <w:t>Section 15</w:t>
            </w:r>
          </w:p>
        </w:tc>
      </w:tr>
    </w:tbl>
    <w:p w14:paraId="0BF46857" w14:textId="77777777" w:rsidR="007355C5" w:rsidRDefault="00AC17C1">
      <w:pPr>
        <w:pStyle w:val="Heading2"/>
      </w:pPr>
      <w:bookmarkStart w:id="108" w:name="_Toc241649770"/>
      <w:r>
        <w:t>18.4 Days 61–90: Controlled Pilot Launch and Standing Cadence</w:t>
      </w:r>
      <w:bookmarkEnd w:id="10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4260"/>
        <w:gridCol w:w="1500"/>
        <w:gridCol w:w="1800"/>
      </w:tblGrid>
      <w:tr w:rsidR="007355C5" w14:paraId="0F911E90" w14:textId="77777777">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A538262" w14:textId="77777777" w:rsidR="007355C5" w:rsidRDefault="00AC17C1">
            <w:r>
              <w:rPr>
                <w:b/>
                <w:bCs/>
                <w:color w:val="FFFFFF"/>
              </w:rPr>
              <w:t>Workstream</w:t>
            </w:r>
          </w:p>
        </w:tc>
        <w:tc>
          <w:tcPr>
            <w:tcW w:w="426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30BDCCF5" w14:textId="77777777" w:rsidR="007355C5" w:rsidRDefault="00AC17C1">
            <w:r>
              <w:rPr>
                <w:b/>
                <w:bCs/>
                <w:color w:val="FFFFFF"/>
              </w:rPr>
              <w:t>Key Activities</w:t>
            </w:r>
          </w:p>
        </w:tc>
        <w:tc>
          <w:tcPr>
            <w:tcW w:w="15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7C6CA74B" w14:textId="77777777" w:rsidR="007355C5" w:rsidRDefault="00AC17C1">
            <w:r>
              <w:rPr>
                <w:b/>
                <w:bCs/>
                <w:color w:val="FFFFFF"/>
              </w:rPr>
              <w:t>Primary Owner</w:t>
            </w:r>
          </w:p>
        </w:tc>
        <w:tc>
          <w:tcPr>
            <w:tcW w:w="1800" w:type="dxa"/>
            <w:tcBorders>
              <w:top w:val="single" w:sz="1" w:space="0" w:color="CCCCCC"/>
              <w:left w:val="single" w:sz="1" w:space="0" w:color="CCCCCC"/>
              <w:bottom w:val="single" w:sz="1" w:space="0" w:color="CCCCCC"/>
              <w:right w:val="single" w:sz="1" w:space="0" w:color="CCCCCC"/>
            </w:tcBorders>
            <w:shd w:val="clear" w:color="auto" w:fill="1F6FB2"/>
            <w:tcMar>
              <w:top w:w="80" w:type="dxa"/>
              <w:left w:w="120" w:type="dxa"/>
              <w:bottom w:w="80" w:type="dxa"/>
              <w:right w:w="120" w:type="dxa"/>
            </w:tcMar>
            <w:vAlign w:val="center"/>
          </w:tcPr>
          <w:p w14:paraId="6F5AF5B5" w14:textId="77777777" w:rsidR="007355C5" w:rsidRDefault="00AC17C1">
            <w:r>
              <w:rPr>
                <w:b/>
                <w:bCs/>
                <w:color w:val="FFFFFF"/>
              </w:rPr>
              <w:t>Playbook Reference</w:t>
            </w:r>
          </w:p>
        </w:tc>
      </w:tr>
      <w:tr w:rsidR="007355C5" w14:paraId="7049DE2E"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4E2CE3" w14:textId="77777777" w:rsidR="007355C5" w:rsidRDefault="00AC17C1">
            <w:r>
              <w:t>Pilot launch</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1CF19B" w14:textId="77777777" w:rsidR="007355C5" w:rsidRDefault="00AC17C1">
            <w:r>
              <w:t>Launch the first pilot(s) in a controlled production or sandbox environment with defined guardrails, monitoring, and a tested rollback plan.</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06DABCA" w14:textId="77777777" w:rsidR="007355C5" w:rsidRDefault="00AC17C1">
            <w:r>
              <w:t>Business Sponsor / Model Owner</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642E1C" w14:textId="77777777" w:rsidR="007355C5" w:rsidRDefault="00AC17C1">
            <w:r>
              <w:t>Section 5.4</w:t>
            </w:r>
          </w:p>
        </w:tc>
      </w:tr>
      <w:tr w:rsidR="007355C5" w14:paraId="7D48323F"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DD8E35" w14:textId="77777777" w:rsidR="007355C5" w:rsidRDefault="00AC17C1">
            <w:r>
              <w:t>Production-readiness review</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AA57F11" w14:textId="77777777" w:rsidR="007355C5" w:rsidRDefault="00AC17C1">
            <w:r>
              <w:t>Third Council meeting: formal review of the first pilot against MRM validation results, risk tier requirements, and inventory registration; approve, conditionally approve, or send back for remediation.</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0873A8" w14:textId="77777777" w:rsidR="007355C5" w:rsidRDefault="00AC17C1">
            <w:r>
              <w:t>AI Governance Council</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49F4FC" w14:textId="77777777" w:rsidR="007355C5" w:rsidRDefault="00AC17C1">
            <w:r>
              <w:t>Sections 7.2, 7.4</w:t>
            </w:r>
          </w:p>
        </w:tc>
      </w:tr>
      <w:tr w:rsidR="007355C5" w14:paraId="5CDE668E"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5BC9EC2" w14:textId="77777777" w:rsidR="007355C5" w:rsidRDefault="00AC17C1">
            <w:r>
              <w:t>Security review</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0236CB1" w14:textId="77777777" w:rsidR="007355C5" w:rsidRDefault="00AC17C1">
            <w:r>
              <w:t>Conduct the first security review (including a lightweight red-team-style test where applicable) of the pilot and its data flows.</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0D9194" w14:textId="77777777" w:rsidR="007355C5" w:rsidRDefault="00AC17C1">
            <w:r>
              <w:t>CISO / Security</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9694FC" w14:textId="77777777" w:rsidR="007355C5" w:rsidRDefault="00AC17C1">
            <w:r>
              <w:t>Section 6</w:t>
            </w:r>
          </w:p>
        </w:tc>
      </w:tr>
      <w:tr w:rsidR="007355C5" w14:paraId="7E9ADA33"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113BB6" w14:textId="77777777" w:rsidR="007355C5" w:rsidRDefault="00AC17C1">
            <w:r>
              <w:lastRenderedPageBreak/>
              <w:t>Standing cadence established</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2CA50F" w14:textId="77777777" w:rsidR="007355C5" w:rsidRDefault="00AC17C1">
            <w:r>
              <w:t>Confirm the ongoing Council meeting cadence (Section 7.4.3), quarterly inventory reconciliation, and monitoring/KPI dashboards (Section 16) are operating without manual heroics.</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C51887" w14:textId="77777777" w:rsidR="007355C5" w:rsidRDefault="00AC17C1">
            <w:r>
              <w:t>CAIO / AI Governance Council</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A4AB1FB" w14:textId="77777777" w:rsidR="007355C5" w:rsidRDefault="00AC17C1">
            <w:r>
              <w:t>Sections 7.4.3, 16</w:t>
            </w:r>
          </w:p>
        </w:tc>
      </w:tr>
      <w:tr w:rsidR="007355C5" w14:paraId="3981D346"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5B1C593" w14:textId="77777777" w:rsidR="007355C5" w:rsidRDefault="00AC17C1">
            <w:r>
              <w:t>90-day retrospective</w:t>
            </w:r>
          </w:p>
        </w:tc>
        <w:tc>
          <w:tcPr>
            <w:tcW w:w="42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F5535F" w14:textId="77777777" w:rsidR="007355C5" w:rsidRDefault="00AC17C1">
            <w:r>
              <w:t>Publish a short retrospective to the executive committee/board: what launched, what was learned, inventory and risk-tiering status, and the recommended Months 6–12 plan (Scale Early Wins).</w:t>
            </w:r>
          </w:p>
        </w:tc>
        <w:tc>
          <w:tcPr>
            <w:tcW w:w="1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8C3B7A" w14:textId="77777777" w:rsidR="007355C5" w:rsidRDefault="00AC17C1">
            <w:r>
              <w:t>CAIO / Executive Sponsor</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D29A99" w14:textId="77777777" w:rsidR="007355C5" w:rsidRDefault="00AC17C1">
            <w:r>
              <w:t>Section 5.3</w:t>
            </w:r>
          </w:p>
        </w:tc>
      </w:tr>
    </w:tbl>
    <w:p w14:paraId="4492E94A" w14:textId="77777777" w:rsidR="007355C5" w:rsidRDefault="00AC17C1">
      <w:pPr>
        <w:pStyle w:val="Heading2"/>
      </w:pPr>
      <w:bookmarkStart w:id="109" w:name="_Toc241649771"/>
      <w:r>
        <w:t>18.5 Ownership Summary</w:t>
      </w:r>
      <w:bookmarkEnd w:id="109"/>
    </w:p>
    <w:p w14:paraId="530C92F3" w14:textId="77777777" w:rsidR="007355C5" w:rsidRDefault="00AC17C1">
      <w:pPr>
        <w:spacing w:after="160"/>
      </w:pPr>
      <w:r>
        <w:t>Ownership across the 90 days follows the same baseline RACI defined for AI delivery generally (Section 5.5): the CAIO/AI Center of Excellence typically holds the “Responsible” role for standing up governance and the platform, the AI Governance Council is “Accountable” for approving pilots into controlled testing and production, business sponsors are “Accountable/Responsible” for their own use case's business case and adoption, and Second Line (Risk/Compliance) and Internal Audit are “Consulted” and “Informe</w:t>
      </w:r>
      <w:r>
        <w:t>d” respectively throughout, escalating to fully “Responsible” for independent validation and audit activities.</w:t>
      </w:r>
    </w:p>
    <w:p w14:paraId="246E50AA" w14:textId="77777777" w:rsidR="007355C5" w:rsidRDefault="00AC17C1">
      <w:pPr>
        <w:pStyle w:val="Heading2"/>
      </w:pPr>
      <w:bookmarkStart w:id="110" w:name="_Toc241649772"/>
      <w:r>
        <w:t>18.6 Risks to the Plan and Mitigations</w:t>
      </w:r>
      <w:bookmarkEnd w:id="110"/>
    </w:p>
    <w:p w14:paraId="3719622D" w14:textId="77777777" w:rsidR="007355C5" w:rsidRDefault="00AC17C1">
      <w:pPr>
        <w:pStyle w:val="ListParagraph"/>
        <w:numPr>
          <w:ilvl w:val="0"/>
          <w:numId w:val="2"/>
        </w:numPr>
        <w:spacing w:after="80"/>
      </w:pPr>
      <w:r>
        <w:t>Council member availability/competing priorities — mitigate by securing executive sponsorship and calendar commitments before Day 1, and by keeping the first two meetings short and decision-focused.</w:t>
      </w:r>
    </w:p>
    <w:p w14:paraId="63D818B6" w14:textId="77777777" w:rsidR="007355C5" w:rsidRDefault="00AC17C1">
      <w:pPr>
        <w:pStyle w:val="ListParagraph"/>
        <w:numPr>
          <w:ilvl w:val="0"/>
          <w:numId w:val="2"/>
        </w:numPr>
        <w:spacing w:after="80"/>
      </w:pPr>
      <w:r>
        <w:t>Data readiness worse than expected — mitigate by starting the data assessment (Section 5.2/Purview) in Week 1, in parallel with governance stand-up, not after pilot selection.</w:t>
      </w:r>
    </w:p>
    <w:p w14:paraId="7438D914" w14:textId="77777777" w:rsidR="007355C5" w:rsidRDefault="00AC17C1">
      <w:pPr>
        <w:pStyle w:val="ListParagraph"/>
        <w:numPr>
          <w:ilvl w:val="0"/>
          <w:numId w:val="2"/>
        </w:numPr>
        <w:spacing w:after="80"/>
      </w:pPr>
      <w:r>
        <w:t>Regulatory ambiguity in a fast-moving area (Section 10) — mitigate by treating the legal/compliance owner's initial read as provisional and formally revisiting it at each Council meeting.</w:t>
      </w:r>
    </w:p>
    <w:p w14:paraId="43ECC1BC" w14:textId="77777777" w:rsidR="007355C5" w:rsidRDefault="00AC17C1">
      <w:pPr>
        <w:pStyle w:val="ListParagraph"/>
        <w:numPr>
          <w:ilvl w:val="0"/>
          <w:numId w:val="2"/>
        </w:numPr>
        <w:spacing w:after="80"/>
      </w:pPr>
      <w:r>
        <w:t>Pressure to skip risk tiering or MRM validation to hit the 90-day mark — mitigate by treating the Section 18.1 exit criteria as non-negotiable; a slipped launch date is preferable to an ungoverned one.</w:t>
      </w:r>
    </w:p>
    <w:p w14:paraId="6CD131AB" w14:textId="77777777" w:rsidR="007355C5" w:rsidRDefault="00AC17C1">
      <w:pPr>
        <w:pStyle w:val="ListParagraph"/>
        <w:numPr>
          <w:ilvl w:val="0"/>
          <w:numId w:val="2"/>
        </w:numPr>
        <w:spacing w:after="80"/>
      </w:pPr>
      <w:r>
        <w:t>Landing zone delays from enterprise IT/security review cycles — mitigate by engaging Information Security and enterprise architecture in Week 1, not Week 30.</w:t>
      </w:r>
    </w:p>
    <w:p w14:paraId="306B6E4C" w14:textId="77777777" w:rsidR="007355C5" w:rsidRDefault="00AC17C1">
      <w:pPr>
        <w:pBdr>
          <w:left w:val="single" w:sz="12" w:space="8" w:color="B00020"/>
        </w:pBdr>
        <w:spacing w:before="80" w:after="200"/>
        <w:ind w:left="200"/>
      </w:pPr>
      <w:r>
        <w:rPr>
          <w:i/>
          <w:iCs/>
          <w:color w:val="B00020"/>
        </w:rPr>
        <w:t>[PLACEHOLDER — Replace the day ranges above with actual calendar dates once a start date is set; name the specific Council members, pilot use case(s), and executive sponsor; and attach the detailed project plan/RAID log this section summarizes]</w:t>
      </w:r>
    </w:p>
    <w:p w14:paraId="24733925" w14:textId="77777777" w:rsidR="007355C5" w:rsidRDefault="00AC17C1">
      <w:r>
        <w:br w:type="page"/>
      </w:r>
    </w:p>
    <w:p w14:paraId="73640A9E" w14:textId="77777777" w:rsidR="007355C5" w:rsidRDefault="00AC17C1">
      <w:pPr>
        <w:pStyle w:val="Heading1"/>
      </w:pPr>
      <w:bookmarkStart w:id="111" w:name="_Toc241649773"/>
      <w:r>
        <w:lastRenderedPageBreak/>
        <w:t>19. Appendices</w:t>
      </w:r>
      <w:bookmarkEnd w:id="111"/>
    </w:p>
    <w:p w14:paraId="5FF848DB" w14:textId="77777777" w:rsidR="007355C5" w:rsidRDefault="00AC17C1">
      <w:pPr>
        <w:pStyle w:val="Heading2"/>
      </w:pPr>
      <w:bookmarkStart w:id="112" w:name="_Toc241649774"/>
      <w:r>
        <w:t>Appendix A: Glossary</w:t>
      </w:r>
      <w:bookmarkEnd w:id="112"/>
    </w:p>
    <w:p w14:paraId="530FE455" w14:textId="77777777" w:rsidR="007355C5" w:rsidRDefault="00AC17C1">
      <w:pPr>
        <w:pStyle w:val="ListParagraph"/>
        <w:numPr>
          <w:ilvl w:val="0"/>
          <w:numId w:val="2"/>
        </w:numPr>
        <w:spacing w:after="80"/>
      </w:pPr>
      <w:r>
        <w:rPr>
          <w:b/>
          <w:bCs/>
        </w:rPr>
        <w:t xml:space="preserve">MRM: </w:t>
      </w:r>
      <w:r>
        <w:t>Model Risk Management.</w:t>
      </w:r>
    </w:p>
    <w:p w14:paraId="23B76480" w14:textId="77777777" w:rsidR="007355C5" w:rsidRDefault="00AC17C1">
      <w:pPr>
        <w:pStyle w:val="ListParagraph"/>
        <w:numPr>
          <w:ilvl w:val="0"/>
          <w:numId w:val="2"/>
        </w:numPr>
        <w:spacing w:after="80"/>
      </w:pPr>
      <w:r>
        <w:rPr>
          <w:b/>
          <w:bCs/>
        </w:rPr>
        <w:t xml:space="preserve">MLOps/LLMOps: </w:t>
      </w:r>
      <w:r>
        <w:t>Operational practices for deploying and maintaining ML/LLM models in production.</w:t>
      </w:r>
    </w:p>
    <w:p w14:paraId="4D975140" w14:textId="77777777" w:rsidR="007355C5" w:rsidRDefault="00AC17C1">
      <w:pPr>
        <w:pStyle w:val="ListParagraph"/>
        <w:numPr>
          <w:ilvl w:val="0"/>
          <w:numId w:val="2"/>
        </w:numPr>
        <w:spacing w:after="80"/>
      </w:pPr>
      <w:r>
        <w:rPr>
          <w:b/>
          <w:bCs/>
        </w:rPr>
        <w:t xml:space="preserve">RAG: </w:t>
      </w:r>
      <w:r>
        <w:t>Retrieval-Augmented Generation, combining a language model with retrieval from a trusted knowledge base.</w:t>
      </w:r>
    </w:p>
    <w:p w14:paraId="4114DA6B" w14:textId="77777777" w:rsidR="007355C5" w:rsidRDefault="00AC17C1">
      <w:pPr>
        <w:pStyle w:val="ListParagraph"/>
        <w:numPr>
          <w:ilvl w:val="0"/>
          <w:numId w:val="2"/>
        </w:numPr>
        <w:spacing w:after="80"/>
      </w:pPr>
      <w:r>
        <w:rPr>
          <w:b/>
          <w:bCs/>
        </w:rPr>
        <w:t xml:space="preserve">Agentic AI: </w:t>
      </w:r>
      <w:r>
        <w:t>AI systems that can autonomously plan and execute multi-step actions using tools/APIs.</w:t>
      </w:r>
    </w:p>
    <w:p w14:paraId="580C105D" w14:textId="77777777" w:rsidR="007355C5" w:rsidRDefault="00AC17C1">
      <w:pPr>
        <w:pStyle w:val="ListParagraph"/>
        <w:numPr>
          <w:ilvl w:val="0"/>
          <w:numId w:val="2"/>
        </w:numPr>
        <w:spacing w:after="80"/>
      </w:pPr>
      <w:r>
        <w:rPr>
          <w:b/>
          <w:bCs/>
        </w:rPr>
        <w:t xml:space="preserve">RBAC/ABAC: </w:t>
      </w:r>
      <w:r>
        <w:t>Role-Based / Attribute-Based Access Control.</w:t>
      </w:r>
    </w:p>
    <w:p w14:paraId="61DCA34A" w14:textId="77777777" w:rsidR="007355C5" w:rsidRDefault="00AC17C1">
      <w:pPr>
        <w:pStyle w:val="ListParagraph"/>
        <w:numPr>
          <w:ilvl w:val="0"/>
          <w:numId w:val="2"/>
        </w:numPr>
        <w:spacing w:after="80"/>
      </w:pPr>
      <w:r>
        <w:rPr>
          <w:b/>
          <w:bCs/>
        </w:rPr>
        <w:t xml:space="preserve">Azure AI Foundry: </w:t>
      </w:r>
      <w:r>
        <w:t>Microsoft's unified platform for building, evaluating, and governing AI models and agents, including a model catalog and Responsible AI tooling.</w:t>
      </w:r>
    </w:p>
    <w:p w14:paraId="6871301D" w14:textId="77777777" w:rsidR="007355C5" w:rsidRDefault="00AC17C1">
      <w:pPr>
        <w:pStyle w:val="ListParagraph"/>
        <w:numPr>
          <w:ilvl w:val="0"/>
          <w:numId w:val="2"/>
        </w:numPr>
        <w:spacing w:after="80"/>
      </w:pPr>
      <w:r>
        <w:rPr>
          <w:b/>
          <w:bCs/>
        </w:rPr>
        <w:t xml:space="preserve">Microsoft Entra ID: </w:t>
      </w:r>
      <w:r>
        <w:t>Microsoft's cloud identity and access management service, used for human and machine/agent identity, authentication, and authorization.</w:t>
      </w:r>
    </w:p>
    <w:p w14:paraId="594FA765" w14:textId="77777777" w:rsidR="007355C5" w:rsidRDefault="00AC17C1">
      <w:pPr>
        <w:pStyle w:val="ListParagraph"/>
        <w:numPr>
          <w:ilvl w:val="0"/>
          <w:numId w:val="2"/>
        </w:numPr>
        <w:spacing w:after="80"/>
      </w:pPr>
      <w:r>
        <w:rPr>
          <w:b/>
          <w:bCs/>
        </w:rPr>
        <w:t xml:space="preserve">Microsoft Purview: </w:t>
      </w:r>
      <w:r>
        <w:t>Microsoft's unified data governance, cataloging, and compliance service.</w:t>
      </w:r>
    </w:p>
    <w:p w14:paraId="5FD5A5E1" w14:textId="77777777" w:rsidR="007355C5" w:rsidRDefault="00AC17C1">
      <w:pPr>
        <w:pStyle w:val="ListParagraph"/>
        <w:numPr>
          <w:ilvl w:val="0"/>
          <w:numId w:val="2"/>
        </w:numPr>
        <w:spacing w:after="80"/>
      </w:pPr>
      <w:r>
        <w:rPr>
          <w:b/>
          <w:bCs/>
        </w:rPr>
        <w:t xml:space="preserve">OSFI: </w:t>
      </w:r>
      <w:r>
        <w:t>Office of the Superintendent of Financial Institutions, Canada's federal prudential regulator for banks and other FRFIs.</w:t>
      </w:r>
    </w:p>
    <w:p w14:paraId="2249A0ED" w14:textId="77777777" w:rsidR="007355C5" w:rsidRDefault="00AC17C1">
      <w:pPr>
        <w:pStyle w:val="ListParagraph"/>
        <w:numPr>
          <w:ilvl w:val="0"/>
          <w:numId w:val="2"/>
        </w:numPr>
        <w:spacing w:after="80"/>
      </w:pPr>
      <w:r>
        <w:rPr>
          <w:b/>
          <w:bCs/>
        </w:rPr>
        <w:t xml:space="preserve">ADMT: </w:t>
      </w:r>
      <w:r>
        <w:t>Automated Decision-Making Technology, the term used in Colorado's SB 26-189 and similar U.S. state laws for AI systems used in consequential decisions.</w:t>
      </w:r>
    </w:p>
    <w:p w14:paraId="7DAF650F" w14:textId="77777777" w:rsidR="007355C5" w:rsidRDefault="00AC17C1">
      <w:pPr>
        <w:pStyle w:val="ListParagraph"/>
        <w:numPr>
          <w:ilvl w:val="0"/>
          <w:numId w:val="2"/>
        </w:numPr>
        <w:spacing w:after="80"/>
      </w:pPr>
      <w:r>
        <w:rPr>
          <w:b/>
          <w:bCs/>
        </w:rPr>
        <w:t xml:space="preserve">ECOA / Regulation B: </w:t>
      </w:r>
      <w:r>
        <w:t>The U.S. Equal Credit Opportunity Act and its implementing regulation, governing fair lending and adverse action notice requirements.</w:t>
      </w:r>
    </w:p>
    <w:p w14:paraId="4CC4DCCC" w14:textId="77777777" w:rsidR="007355C5" w:rsidRDefault="00AC17C1">
      <w:pPr>
        <w:pStyle w:val="ListParagraph"/>
        <w:numPr>
          <w:ilvl w:val="0"/>
          <w:numId w:val="2"/>
        </w:numPr>
        <w:spacing w:after="80"/>
      </w:pPr>
      <w:r>
        <w:rPr>
          <w:b/>
          <w:bCs/>
        </w:rPr>
        <w:t xml:space="preserve">CFPB: </w:t>
      </w:r>
      <w:r>
        <w:t>Consumer Financial Protection Bureau, the U.S. federal consumer financial protection regulator.</w:t>
      </w:r>
    </w:p>
    <w:p w14:paraId="37574AC3" w14:textId="77777777" w:rsidR="007355C5" w:rsidRDefault="00AC17C1">
      <w:pPr>
        <w:pBdr>
          <w:left w:val="single" w:sz="12" w:space="8" w:color="B00020"/>
        </w:pBdr>
        <w:spacing w:before="80" w:after="200"/>
        <w:ind w:left="200"/>
      </w:pPr>
      <w:r>
        <w:rPr>
          <w:i/>
          <w:iCs/>
          <w:color w:val="B00020"/>
        </w:rPr>
        <w:t>[PLACEHOLDER — Expand glossary as new terms are adopted]</w:t>
      </w:r>
    </w:p>
    <w:p w14:paraId="2ADBEDB6" w14:textId="77777777" w:rsidR="007355C5" w:rsidRDefault="00AC17C1">
      <w:pPr>
        <w:pStyle w:val="Heading2"/>
      </w:pPr>
      <w:bookmarkStart w:id="113" w:name="_Toc241649775"/>
      <w:r>
        <w:t>Appendix B: Document Control</w:t>
      </w:r>
      <w:bookmarkEnd w:id="113"/>
    </w:p>
    <w:p w14:paraId="523B34E9" w14:textId="77777777" w:rsidR="007355C5" w:rsidRDefault="00AC17C1">
      <w:pPr>
        <w:pStyle w:val="ListParagraph"/>
        <w:numPr>
          <w:ilvl w:val="0"/>
          <w:numId w:val="2"/>
        </w:numPr>
        <w:spacing w:after="80"/>
      </w:pPr>
      <w:r>
        <w:t>Version: 0.11 (Draft)</w:t>
      </w:r>
    </w:p>
    <w:p w14:paraId="4469A7A9" w14:textId="77777777" w:rsidR="007355C5" w:rsidRDefault="00AC17C1">
      <w:pPr>
        <w:pStyle w:val="ListParagraph"/>
        <w:numPr>
          <w:ilvl w:val="0"/>
          <w:numId w:val="2"/>
        </w:numPr>
        <w:spacing w:after="80"/>
      </w:pPr>
      <w:r>
        <w:t>Owner: Office of the Chief AI Officer</w:t>
      </w:r>
    </w:p>
    <w:p w14:paraId="2451D025" w14:textId="77777777" w:rsidR="007355C5" w:rsidRDefault="00AC17C1">
      <w:pPr>
        <w:pStyle w:val="ListParagraph"/>
        <w:numPr>
          <w:ilvl w:val="0"/>
          <w:numId w:val="2"/>
        </w:numPr>
        <w:spacing w:after="80"/>
      </w:pPr>
      <w:r>
        <w:t>Section 10 (Regulatory Map) current as of: July 2026 — Canada and United States only</w:t>
      </w:r>
    </w:p>
    <w:p w14:paraId="71AAD56F" w14:textId="77777777" w:rsidR="007355C5" w:rsidRDefault="00AC17C1">
      <w:pPr>
        <w:pStyle w:val="ListParagraph"/>
        <w:numPr>
          <w:ilvl w:val="0"/>
          <w:numId w:val="2"/>
        </w:numPr>
        <w:spacing w:after="80"/>
      </w:pPr>
      <w:r>
        <w:t>Next review: [insert date]</w:t>
      </w:r>
    </w:p>
    <w:p w14:paraId="41CAF3CB" w14:textId="77777777" w:rsidR="007355C5" w:rsidRDefault="00AC17C1">
      <w:pPr>
        <w:pBdr>
          <w:left w:val="single" w:sz="12" w:space="8" w:color="B00020"/>
        </w:pBdr>
        <w:spacing w:before="80" w:after="200"/>
        <w:ind w:left="200"/>
      </w:pPr>
      <w:r>
        <w:rPr>
          <w:i/>
          <w:iCs/>
          <w:color w:val="B00020"/>
        </w:rPr>
        <w:t>[PLACEHOLDER — Version history table, approvers, distribution list]</w:t>
      </w:r>
    </w:p>
    <w:sectPr w:rsidR="007355C5">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3FAC" w14:textId="77777777" w:rsidR="00AC17C1" w:rsidRDefault="00AC17C1">
      <w:r>
        <w:separator/>
      </w:r>
    </w:p>
  </w:endnote>
  <w:endnote w:type="continuationSeparator" w:id="0">
    <w:p w14:paraId="25CCECAC" w14:textId="77777777" w:rsidR="00AC17C1" w:rsidRDefault="00AC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5771" w14:textId="77777777" w:rsidR="007355C5" w:rsidRDefault="00AC17C1">
    <w:pPr>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B6360E">
      <w:rPr>
        <w:noProof/>
        <w:color w:val="888888"/>
        <w:sz w:val="16"/>
        <w:szCs w:val="16"/>
      </w:rPr>
      <w:t>1</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sidR="00B6360E">
      <w:rPr>
        <w:noProof/>
        <w:color w:val="888888"/>
        <w:sz w:val="16"/>
        <w:szCs w:val="16"/>
      </w:rPr>
      <w:t>2</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66366" w14:textId="77777777" w:rsidR="00AC17C1" w:rsidRDefault="00AC17C1">
      <w:r>
        <w:separator/>
      </w:r>
    </w:p>
  </w:footnote>
  <w:footnote w:type="continuationSeparator" w:id="0">
    <w:p w14:paraId="1DD934F8" w14:textId="77777777" w:rsidR="00AC17C1" w:rsidRDefault="00AC1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82C4" w14:textId="77777777" w:rsidR="007355C5" w:rsidRDefault="00AC17C1">
    <w:pPr>
      <w:jc w:val="right"/>
    </w:pPr>
    <w:r>
      <w:rPr>
        <w:color w:val="888888"/>
        <w:sz w:val="16"/>
        <w:szCs w:val="16"/>
      </w:rPr>
      <w:t>AI Playbook for Banking — Master Document (Microsoft Azure Edition)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3A0"/>
    <w:multiLevelType w:val="hybridMultilevel"/>
    <w:tmpl w:val="4FECA220"/>
    <w:lvl w:ilvl="0" w:tplc="51DCC724">
      <w:start w:val="1"/>
      <w:numFmt w:val="bullet"/>
      <w:lvlText w:val="●"/>
      <w:lvlJc w:val="left"/>
      <w:pPr>
        <w:ind w:left="720" w:hanging="360"/>
      </w:pPr>
    </w:lvl>
    <w:lvl w:ilvl="1" w:tplc="27044DB2">
      <w:start w:val="1"/>
      <w:numFmt w:val="bullet"/>
      <w:lvlText w:val="○"/>
      <w:lvlJc w:val="left"/>
      <w:pPr>
        <w:ind w:left="1440" w:hanging="360"/>
      </w:pPr>
    </w:lvl>
    <w:lvl w:ilvl="2" w:tplc="FEDA8002">
      <w:start w:val="1"/>
      <w:numFmt w:val="bullet"/>
      <w:lvlText w:val="■"/>
      <w:lvlJc w:val="left"/>
      <w:pPr>
        <w:ind w:left="2160" w:hanging="360"/>
      </w:pPr>
    </w:lvl>
    <w:lvl w:ilvl="3" w:tplc="36666250">
      <w:start w:val="1"/>
      <w:numFmt w:val="bullet"/>
      <w:lvlText w:val="●"/>
      <w:lvlJc w:val="left"/>
      <w:pPr>
        <w:ind w:left="2880" w:hanging="360"/>
      </w:pPr>
    </w:lvl>
    <w:lvl w:ilvl="4" w:tplc="07A0DAD8">
      <w:start w:val="1"/>
      <w:numFmt w:val="bullet"/>
      <w:lvlText w:val="○"/>
      <w:lvlJc w:val="left"/>
      <w:pPr>
        <w:ind w:left="3600" w:hanging="360"/>
      </w:pPr>
    </w:lvl>
    <w:lvl w:ilvl="5" w:tplc="157C748E">
      <w:start w:val="1"/>
      <w:numFmt w:val="bullet"/>
      <w:lvlText w:val="■"/>
      <w:lvlJc w:val="left"/>
      <w:pPr>
        <w:ind w:left="4320" w:hanging="360"/>
      </w:pPr>
    </w:lvl>
    <w:lvl w:ilvl="6" w:tplc="D3307470">
      <w:start w:val="1"/>
      <w:numFmt w:val="bullet"/>
      <w:lvlText w:val="●"/>
      <w:lvlJc w:val="left"/>
      <w:pPr>
        <w:ind w:left="5040" w:hanging="360"/>
      </w:pPr>
    </w:lvl>
    <w:lvl w:ilvl="7" w:tplc="728287B0">
      <w:start w:val="1"/>
      <w:numFmt w:val="bullet"/>
      <w:lvlText w:val="●"/>
      <w:lvlJc w:val="left"/>
      <w:pPr>
        <w:ind w:left="5760" w:hanging="360"/>
      </w:pPr>
    </w:lvl>
    <w:lvl w:ilvl="8" w:tplc="13A6488E">
      <w:start w:val="1"/>
      <w:numFmt w:val="bullet"/>
      <w:lvlText w:val="●"/>
      <w:lvlJc w:val="left"/>
      <w:pPr>
        <w:ind w:left="6480" w:hanging="360"/>
      </w:pPr>
    </w:lvl>
  </w:abstractNum>
  <w:abstractNum w:abstractNumId="1" w15:restartNumberingAfterBreak="0">
    <w:nsid w:val="2ABB7552"/>
    <w:multiLevelType w:val="hybridMultilevel"/>
    <w:tmpl w:val="5A501B6C"/>
    <w:lvl w:ilvl="0" w:tplc="3F8A1992">
      <w:start w:val="1"/>
      <w:numFmt w:val="bullet"/>
      <w:lvlText w:val="•"/>
      <w:lvlJc w:val="left"/>
      <w:pPr>
        <w:ind w:left="720" w:hanging="360"/>
      </w:pPr>
    </w:lvl>
    <w:lvl w:ilvl="1" w:tplc="7D548400">
      <w:start w:val="1"/>
      <w:numFmt w:val="bullet"/>
      <w:lvlText w:val="◦"/>
      <w:lvlJc w:val="left"/>
      <w:pPr>
        <w:ind w:left="1080" w:hanging="360"/>
      </w:pPr>
    </w:lvl>
    <w:lvl w:ilvl="2" w:tplc="97E4AD9E">
      <w:numFmt w:val="decimal"/>
      <w:lvlText w:val=""/>
      <w:lvlJc w:val="left"/>
    </w:lvl>
    <w:lvl w:ilvl="3" w:tplc="30F8E7E4">
      <w:numFmt w:val="decimal"/>
      <w:lvlText w:val=""/>
      <w:lvlJc w:val="left"/>
    </w:lvl>
    <w:lvl w:ilvl="4" w:tplc="C41AD328">
      <w:numFmt w:val="decimal"/>
      <w:lvlText w:val=""/>
      <w:lvlJc w:val="left"/>
    </w:lvl>
    <w:lvl w:ilvl="5" w:tplc="63344090">
      <w:numFmt w:val="decimal"/>
      <w:lvlText w:val=""/>
      <w:lvlJc w:val="left"/>
    </w:lvl>
    <w:lvl w:ilvl="6" w:tplc="501EED38">
      <w:numFmt w:val="decimal"/>
      <w:lvlText w:val=""/>
      <w:lvlJc w:val="left"/>
    </w:lvl>
    <w:lvl w:ilvl="7" w:tplc="138EB376">
      <w:numFmt w:val="decimal"/>
      <w:lvlText w:val=""/>
      <w:lvlJc w:val="left"/>
    </w:lvl>
    <w:lvl w:ilvl="8" w:tplc="4D8C6032">
      <w:numFmt w:val="decimal"/>
      <w:lvlText w:val=""/>
      <w:lvlJc w:val="left"/>
    </w:lvl>
  </w:abstractNum>
  <w:abstractNum w:abstractNumId="2" w15:restartNumberingAfterBreak="0">
    <w:nsid w:val="6E0F0AD7"/>
    <w:multiLevelType w:val="hybridMultilevel"/>
    <w:tmpl w:val="37B46E2A"/>
    <w:lvl w:ilvl="0" w:tplc="A7C23312">
      <w:start w:val="1"/>
      <w:numFmt w:val="decimal"/>
      <w:lvlText w:val="%1."/>
      <w:lvlJc w:val="left"/>
      <w:pPr>
        <w:ind w:left="720" w:hanging="360"/>
      </w:pPr>
    </w:lvl>
    <w:lvl w:ilvl="1" w:tplc="A10249BA">
      <w:numFmt w:val="decimal"/>
      <w:lvlText w:val=""/>
      <w:lvlJc w:val="left"/>
    </w:lvl>
    <w:lvl w:ilvl="2" w:tplc="F1D07BA6">
      <w:numFmt w:val="decimal"/>
      <w:lvlText w:val=""/>
      <w:lvlJc w:val="left"/>
    </w:lvl>
    <w:lvl w:ilvl="3" w:tplc="20AA6C8E">
      <w:numFmt w:val="decimal"/>
      <w:lvlText w:val=""/>
      <w:lvlJc w:val="left"/>
    </w:lvl>
    <w:lvl w:ilvl="4" w:tplc="E8F0EF92">
      <w:numFmt w:val="decimal"/>
      <w:lvlText w:val=""/>
      <w:lvlJc w:val="left"/>
    </w:lvl>
    <w:lvl w:ilvl="5" w:tplc="73A4BFEE">
      <w:numFmt w:val="decimal"/>
      <w:lvlText w:val=""/>
      <w:lvlJc w:val="left"/>
    </w:lvl>
    <w:lvl w:ilvl="6" w:tplc="B922DB8A">
      <w:numFmt w:val="decimal"/>
      <w:lvlText w:val=""/>
      <w:lvlJc w:val="left"/>
    </w:lvl>
    <w:lvl w:ilvl="7" w:tplc="F9B0909A">
      <w:numFmt w:val="decimal"/>
      <w:lvlText w:val=""/>
      <w:lvlJc w:val="left"/>
    </w:lvl>
    <w:lvl w:ilvl="8" w:tplc="C85E63E2">
      <w:numFmt w:val="decimal"/>
      <w:lvlText w:val=""/>
      <w:lvlJc w:val="left"/>
    </w:lvl>
  </w:abstractNum>
  <w:num w:numId="1" w16cid:durableId="942615178">
    <w:abstractNumId w:val="0"/>
    <w:lvlOverride w:ilvl="0">
      <w:startOverride w:val="1"/>
    </w:lvlOverride>
  </w:num>
  <w:num w:numId="2" w16cid:durableId="164904637">
    <w:abstractNumId w:val="1"/>
    <w:lvlOverride w:ilvl="0">
      <w:startOverride w:val="1"/>
    </w:lvlOverride>
  </w:num>
  <w:num w:numId="3" w16cid:durableId="467590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5C5"/>
    <w:rsid w:val="00100C15"/>
    <w:rsid w:val="0036700D"/>
    <w:rsid w:val="004109FB"/>
    <w:rsid w:val="007355C5"/>
    <w:rsid w:val="007411C4"/>
    <w:rsid w:val="008830C9"/>
    <w:rsid w:val="009503F3"/>
    <w:rsid w:val="00972757"/>
    <w:rsid w:val="00A51C79"/>
    <w:rsid w:val="00A930E7"/>
    <w:rsid w:val="00AC17C1"/>
    <w:rsid w:val="00AF536F"/>
    <w:rsid w:val="00B36ED1"/>
    <w:rsid w:val="00B6360E"/>
    <w:rsid w:val="00F16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A58F1"/>
  <w15:docId w15:val="{DF90A42D-2099-4252-8B16-457532D62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1F6FB2"/>
      </w:pBdr>
      <w:spacing w:before="360" w:after="200"/>
      <w:outlineLvl w:val="0"/>
    </w:pPr>
    <w:rPr>
      <w:b/>
      <w:bCs/>
      <w:color w:val="0F3D5F"/>
      <w:sz w:val="32"/>
      <w:szCs w:val="32"/>
    </w:rPr>
  </w:style>
  <w:style w:type="paragraph" w:styleId="Heading2">
    <w:name w:val="heading 2"/>
    <w:uiPriority w:val="9"/>
    <w:unhideWhenUsed/>
    <w:qFormat/>
    <w:pPr>
      <w:spacing w:before="260" w:after="140"/>
      <w:outlineLvl w:val="1"/>
    </w:pPr>
    <w:rPr>
      <w:b/>
      <w:bCs/>
      <w:color w:val="1F6FB2"/>
      <w:sz w:val="26"/>
      <w:szCs w:val="26"/>
    </w:rPr>
  </w:style>
  <w:style w:type="paragraph" w:styleId="Heading3">
    <w:name w:val="heading 3"/>
    <w:uiPriority w:val="9"/>
    <w:unhideWhenUsed/>
    <w:qFormat/>
    <w:pPr>
      <w:spacing w:before="200" w:after="100"/>
      <w:outlineLvl w:val="2"/>
    </w:pPr>
    <w:rPr>
      <w:b/>
      <w:bCs/>
      <w:color w:val="333333"/>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B6360E"/>
    <w:pPr>
      <w:spacing w:after="100"/>
    </w:pPr>
  </w:style>
  <w:style w:type="paragraph" w:styleId="TOC2">
    <w:name w:val="toc 2"/>
    <w:basedOn w:val="Normal"/>
    <w:next w:val="Normal"/>
    <w:autoRedefine/>
    <w:uiPriority w:val="39"/>
    <w:unhideWhenUsed/>
    <w:rsid w:val="00B6360E"/>
    <w:pPr>
      <w:spacing w:after="100"/>
      <w:ind w:left="220"/>
    </w:pPr>
  </w:style>
  <w:style w:type="paragraph" w:styleId="TOC3">
    <w:name w:val="toc 3"/>
    <w:basedOn w:val="Normal"/>
    <w:next w:val="Normal"/>
    <w:autoRedefine/>
    <w:uiPriority w:val="39"/>
    <w:unhideWhenUsed/>
    <w:rsid w:val="00B6360E"/>
    <w:pPr>
      <w:spacing w:after="100"/>
      <w:ind w:left="440"/>
    </w:pPr>
  </w:style>
  <w:style w:type="paragraph" w:styleId="TOC4">
    <w:name w:val="toc 4"/>
    <w:basedOn w:val="Normal"/>
    <w:next w:val="Normal"/>
    <w:autoRedefine/>
    <w:uiPriority w:val="39"/>
    <w:unhideWhenUsed/>
    <w:rsid w:val="00B6360E"/>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B6360E"/>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B6360E"/>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B6360E"/>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B6360E"/>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B6360E"/>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B63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18281</Words>
  <Characters>115029</Characters>
  <Application>Microsoft Office Word</Application>
  <DocSecurity>0</DocSecurity>
  <Lines>3352</Lines>
  <Paragraphs>1355</Paragraphs>
  <ScaleCrop>false</ScaleCrop>
  <Company/>
  <LinksUpToDate>false</LinksUpToDate>
  <CharactersWithSpaces>132365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Playbook for Banking</dc:title>
  <dc:creator>Office of the Chief AI Officer</dc:creator>
  <dc:description>Master reference playbook for AI strategy, deployment, and governance in banking on Microsoft Azure, including a Canada/US regulatory map.</dc:description>
  <cp:lastModifiedBy>John Straumann</cp:lastModifiedBy>
  <cp:revision>5</cp:revision>
  <dcterms:created xsi:type="dcterms:W3CDTF">2026-07-25T12:51:00Z</dcterms:created>
  <dcterms:modified xsi:type="dcterms:W3CDTF">2026-09-30T12:34:00Z</dcterms:modified>
</cp:coreProperties>
</file>