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91DA3" w14:textId="77777777" w:rsidR="00E14F8E" w:rsidRDefault="00073CC7">
      <w:pPr>
        <w:jc w:val="center"/>
      </w:pPr>
      <w:r>
        <w:rPr>
          <w:b/>
          <w:sz w:val="38"/>
        </w:rPr>
        <w:t>Chief AI Officer Playbook</w:t>
      </w:r>
    </w:p>
    <w:p w14:paraId="7162BEAB" w14:textId="77777777" w:rsidR="00E14F8E" w:rsidRDefault="00073CC7">
      <w:pPr>
        <w:jc w:val="center"/>
      </w:pPr>
      <w:r>
        <w:rPr>
          <w:sz w:val="26"/>
        </w:rPr>
        <w:t>Executive Summary</w:t>
      </w:r>
    </w:p>
    <w:p w14:paraId="743998C2" w14:textId="77777777" w:rsidR="00E14F8E" w:rsidRDefault="00073CC7">
      <w:pPr>
        <w:jc w:val="center"/>
      </w:pPr>
      <w:r>
        <w:rPr>
          <w:sz w:val="20"/>
        </w:rPr>
        <w:t>The Organization   |   Version 1.0   |   August 4, 2026</w:t>
      </w:r>
    </w:p>
    <w:p w14:paraId="60A64761" w14:textId="77777777" w:rsidR="00E14F8E" w:rsidRDefault="00073CC7">
      <w:pPr>
        <w:spacing w:after="0"/>
        <w:jc w:val="center"/>
      </w:pPr>
      <w:r>
        <w:rPr>
          <w:sz w:val="20"/>
        </w:rPr>
        <w:t>Created by John Straumann, Field CAIO Officer, Microsoft South   |   john.straumann@microsoft.com</w:t>
      </w:r>
    </w:p>
    <w:p w14:paraId="660D4CA5" w14:textId="77777777" w:rsidR="00E14F8E" w:rsidRDefault="00073CC7">
      <w:r>
        <w:t>This summarizes the Chief AI Officer Playbook, a controlled document of twenty one sections setting out how the organization establishes, governs, and scales artificial intelligence under a single accountable officer.</w:t>
      </w:r>
    </w:p>
    <w:p w14:paraId="2742522D" w14:textId="77777777" w:rsidR="00E14F8E" w:rsidRDefault="00073CC7">
      <w:pPr>
        <w:pageBreakBefore/>
        <w:spacing w:before="280" w:after="120"/>
      </w:pPr>
      <w:r>
        <w:rPr>
          <w:b/>
          <w:color w:val="1F3964"/>
          <w:sz w:val="36"/>
        </w:rPr>
        <w:lastRenderedPageBreak/>
        <w:t>Contents</w:t>
      </w:r>
    </w:p>
    <w:p w14:paraId="7F37F85D" w14:textId="75421F34" w:rsidR="00E10EE4" w:rsidRDefault="00073CC7">
      <w:pPr>
        <w:pStyle w:val="TOC1"/>
        <w:tabs>
          <w:tab w:val="right" w:leader="dot" w:pos="935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41649679" w:history="1">
        <w:r w:rsidR="00E10EE4" w:rsidRPr="00DF14C7">
          <w:rPr>
            <w:rStyle w:val="Hyperlink"/>
            <w:noProof/>
          </w:rPr>
          <w:t>Important Disclaimer</w:t>
        </w:r>
        <w:r w:rsidR="00E10EE4">
          <w:rPr>
            <w:noProof/>
            <w:webHidden/>
          </w:rPr>
          <w:tab/>
        </w:r>
        <w:r w:rsidR="00E10EE4">
          <w:rPr>
            <w:noProof/>
            <w:webHidden/>
          </w:rPr>
          <w:fldChar w:fldCharType="begin"/>
        </w:r>
        <w:r w:rsidR="00E10EE4">
          <w:rPr>
            <w:noProof/>
            <w:webHidden/>
          </w:rPr>
          <w:instrText xml:space="preserve"> PAGEREF _Toc241649679 \h </w:instrText>
        </w:r>
        <w:r w:rsidR="00E10EE4">
          <w:rPr>
            <w:noProof/>
            <w:webHidden/>
          </w:rPr>
        </w:r>
        <w:r w:rsidR="00E10EE4">
          <w:rPr>
            <w:noProof/>
            <w:webHidden/>
          </w:rPr>
          <w:fldChar w:fldCharType="separate"/>
        </w:r>
        <w:r w:rsidR="00E10EE4">
          <w:rPr>
            <w:noProof/>
            <w:webHidden/>
          </w:rPr>
          <w:t>3</w:t>
        </w:r>
        <w:r w:rsidR="00E10EE4">
          <w:rPr>
            <w:noProof/>
            <w:webHidden/>
          </w:rPr>
          <w:fldChar w:fldCharType="end"/>
        </w:r>
      </w:hyperlink>
    </w:p>
    <w:p w14:paraId="21400F7C" w14:textId="0873F894" w:rsidR="00E10EE4" w:rsidRDefault="00E10EE4">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0" w:history="1">
        <w:r w:rsidRPr="00DF14C7">
          <w:rPr>
            <w:rStyle w:val="Hyperlink"/>
            <w:noProof/>
          </w:rPr>
          <w:t>The Problem</w:t>
        </w:r>
        <w:r>
          <w:rPr>
            <w:noProof/>
            <w:webHidden/>
          </w:rPr>
          <w:tab/>
        </w:r>
        <w:r>
          <w:rPr>
            <w:noProof/>
            <w:webHidden/>
          </w:rPr>
          <w:fldChar w:fldCharType="begin"/>
        </w:r>
        <w:r>
          <w:rPr>
            <w:noProof/>
            <w:webHidden/>
          </w:rPr>
          <w:instrText xml:space="preserve"> PAGEREF _Toc241649680 \h </w:instrText>
        </w:r>
        <w:r>
          <w:rPr>
            <w:noProof/>
            <w:webHidden/>
          </w:rPr>
        </w:r>
        <w:r>
          <w:rPr>
            <w:noProof/>
            <w:webHidden/>
          </w:rPr>
          <w:fldChar w:fldCharType="separate"/>
        </w:r>
        <w:r>
          <w:rPr>
            <w:noProof/>
            <w:webHidden/>
          </w:rPr>
          <w:t>4</w:t>
        </w:r>
        <w:r>
          <w:rPr>
            <w:noProof/>
            <w:webHidden/>
          </w:rPr>
          <w:fldChar w:fldCharType="end"/>
        </w:r>
      </w:hyperlink>
    </w:p>
    <w:p w14:paraId="319EB9BA" w14:textId="6DBDAC26" w:rsidR="00E10EE4" w:rsidRDefault="00E10EE4">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1" w:history="1">
        <w:r w:rsidRPr="00DF14C7">
          <w:rPr>
            <w:rStyle w:val="Hyperlink"/>
            <w:noProof/>
          </w:rPr>
          <w:t>The Response</w:t>
        </w:r>
        <w:r>
          <w:rPr>
            <w:noProof/>
            <w:webHidden/>
          </w:rPr>
          <w:tab/>
        </w:r>
        <w:r>
          <w:rPr>
            <w:noProof/>
            <w:webHidden/>
          </w:rPr>
          <w:fldChar w:fldCharType="begin"/>
        </w:r>
        <w:r>
          <w:rPr>
            <w:noProof/>
            <w:webHidden/>
          </w:rPr>
          <w:instrText xml:space="preserve"> PAGEREF _Toc241649681 \h </w:instrText>
        </w:r>
        <w:r>
          <w:rPr>
            <w:noProof/>
            <w:webHidden/>
          </w:rPr>
        </w:r>
        <w:r>
          <w:rPr>
            <w:noProof/>
            <w:webHidden/>
          </w:rPr>
          <w:fldChar w:fldCharType="separate"/>
        </w:r>
        <w:r>
          <w:rPr>
            <w:noProof/>
            <w:webHidden/>
          </w:rPr>
          <w:t>4</w:t>
        </w:r>
        <w:r>
          <w:rPr>
            <w:noProof/>
            <w:webHidden/>
          </w:rPr>
          <w:fldChar w:fldCharType="end"/>
        </w:r>
      </w:hyperlink>
    </w:p>
    <w:p w14:paraId="3147D875" w14:textId="3C03C1B8" w:rsidR="00E10EE4" w:rsidRDefault="00E10EE4">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2" w:history="1">
        <w:r w:rsidRPr="00DF14C7">
          <w:rPr>
            <w:rStyle w:val="Hyperlink"/>
            <w:noProof/>
          </w:rPr>
          <w:t>The Economics and the First 90 Days</w:t>
        </w:r>
        <w:r>
          <w:rPr>
            <w:noProof/>
            <w:webHidden/>
          </w:rPr>
          <w:tab/>
        </w:r>
        <w:r>
          <w:rPr>
            <w:noProof/>
            <w:webHidden/>
          </w:rPr>
          <w:fldChar w:fldCharType="begin"/>
        </w:r>
        <w:r>
          <w:rPr>
            <w:noProof/>
            <w:webHidden/>
          </w:rPr>
          <w:instrText xml:space="preserve"> PAGEREF _Toc241649682 \h </w:instrText>
        </w:r>
        <w:r>
          <w:rPr>
            <w:noProof/>
            <w:webHidden/>
          </w:rPr>
        </w:r>
        <w:r>
          <w:rPr>
            <w:noProof/>
            <w:webHidden/>
          </w:rPr>
          <w:fldChar w:fldCharType="separate"/>
        </w:r>
        <w:r>
          <w:rPr>
            <w:noProof/>
            <w:webHidden/>
          </w:rPr>
          <w:t>5</w:t>
        </w:r>
        <w:r>
          <w:rPr>
            <w:noProof/>
            <w:webHidden/>
          </w:rPr>
          <w:fldChar w:fldCharType="end"/>
        </w:r>
      </w:hyperlink>
    </w:p>
    <w:p w14:paraId="2C47C9B6" w14:textId="5C9B6CC1" w:rsidR="00E10EE4" w:rsidRDefault="00E10EE4">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3" w:history="1">
        <w:r w:rsidRPr="00DF14C7">
          <w:rPr>
            <w:rStyle w:val="Hyperlink"/>
            <w:noProof/>
          </w:rPr>
          <w:t>Decisions Required from Leadership</w:t>
        </w:r>
        <w:r>
          <w:rPr>
            <w:noProof/>
            <w:webHidden/>
          </w:rPr>
          <w:tab/>
        </w:r>
        <w:r>
          <w:rPr>
            <w:noProof/>
            <w:webHidden/>
          </w:rPr>
          <w:fldChar w:fldCharType="begin"/>
        </w:r>
        <w:r>
          <w:rPr>
            <w:noProof/>
            <w:webHidden/>
          </w:rPr>
          <w:instrText xml:space="preserve"> PAGEREF _Toc241649683 \h </w:instrText>
        </w:r>
        <w:r>
          <w:rPr>
            <w:noProof/>
            <w:webHidden/>
          </w:rPr>
        </w:r>
        <w:r>
          <w:rPr>
            <w:noProof/>
            <w:webHidden/>
          </w:rPr>
          <w:fldChar w:fldCharType="separate"/>
        </w:r>
        <w:r>
          <w:rPr>
            <w:noProof/>
            <w:webHidden/>
          </w:rPr>
          <w:t>5</w:t>
        </w:r>
        <w:r>
          <w:rPr>
            <w:noProof/>
            <w:webHidden/>
          </w:rPr>
          <w:fldChar w:fldCharType="end"/>
        </w:r>
      </w:hyperlink>
    </w:p>
    <w:p w14:paraId="293E796A" w14:textId="5912105A" w:rsidR="00E14F8E" w:rsidRDefault="00073CC7">
      <w:r>
        <w:fldChar w:fldCharType="end"/>
      </w:r>
    </w:p>
    <w:p w14:paraId="5CC4B04C" w14:textId="77777777" w:rsidR="00E14F8E" w:rsidRDefault="00073CC7">
      <w:pPr>
        <w:pStyle w:val="Heading1"/>
        <w:pageBreakBefore/>
      </w:pPr>
      <w:bookmarkStart w:id="0" w:name="_Toc241649679"/>
      <w:r>
        <w:rPr>
          <w:rFonts w:ascii="Arial" w:eastAsia="Arial" w:hAnsi="Arial" w:cs="Arial"/>
          <w:color w:val="C00000"/>
        </w:rPr>
        <w:lastRenderedPageBreak/>
        <w:t>Important Disclaimer</w:t>
      </w:r>
      <w:bookmarkEnd w:id="0"/>
    </w:p>
    <w:p w14:paraId="00AC36D2" w14:textId="77777777" w:rsidR="00E14F8E" w:rsidRDefault="00073CC7">
      <w:r>
        <w:rPr>
          <w:b/>
          <w:color w:val="C00000"/>
          <w:sz w:val="22"/>
        </w:rPr>
        <w:t>This document is not a Microsoft product and is not official Microsoft content.</w:t>
      </w:r>
    </w:p>
    <w:p w14:paraId="69BFB648" w14:textId="77777777" w:rsidR="00E14F8E" w:rsidRDefault="00073CC7">
      <w:r>
        <w:rPr>
          <w:sz w:val="22"/>
        </w:rPr>
        <w:t>This playbook was created by John Straumann and is the independent work of its author. It is not produced, reviewed, endorsed, approved, or published by Microsoft Corporation. Although the author works at Microsoft, nothing in this document is an official Microsoft statement, commitment, recommendation, roadmap, or position, and it does not create any obligation on Microsoft.</w:t>
      </w:r>
    </w:p>
    <w:p w14:paraId="7AC0D77F" w14:textId="77777777" w:rsidR="00E14F8E" w:rsidRDefault="00073CC7">
      <w:r>
        <w:rPr>
          <w:b/>
          <w:sz w:val="22"/>
        </w:rPr>
        <w:t>Not official curriculum or exam preparation</w:t>
      </w:r>
      <w:r>
        <w:rPr>
          <w:sz w:val="22"/>
        </w:rPr>
        <w:t>: this document is not official Microsoft training material, official Microsoft curriculum, or preparation for any Microsoft certification examination. It is intended for self-paced reading and as a working reference. Where Microsoft Learn or Microsoft documentation is referenced, that content remains the authoritative source and is governed by its own terms.</w:t>
      </w:r>
    </w:p>
    <w:p w14:paraId="53182BA8" w14:textId="77777777" w:rsidR="00E14F8E" w:rsidRDefault="00073CC7">
      <w:r>
        <w:rPr>
          <w:b/>
          <w:sz w:val="22"/>
        </w:rPr>
        <w:t>No warranty</w:t>
      </w:r>
      <w:r>
        <w:rPr>
          <w:sz w:val="22"/>
        </w:rPr>
        <w:t>: the material is provided “as is”, without representation, guarantee, condition, or warranty of any kind, whether express or implied, including as to accuracy, completeness, currency, merchantability, or fitness for a particular purpose. Microsoft makes no guarantees or warranties about this material and accepts no responsibility or liability for it. To the maximum extent permitted by law, neither Microsoft nor the author is liable for any loss or damage of any kind arising from reliance on this document.</w:t>
      </w:r>
    </w:p>
    <w:p w14:paraId="614FA412" w14:textId="77777777" w:rsidR="00E14F8E" w:rsidRDefault="00073CC7">
      <w:r>
        <w:rPr>
          <w:sz w:val="22"/>
        </w:rPr>
        <w:t>Please also note the following before acting on anything in this playbook:</w:t>
      </w:r>
    </w:p>
    <w:p w14:paraId="475630CA" w14:textId="77777777" w:rsidR="00E14F8E" w:rsidRDefault="00073CC7">
      <w:pPr>
        <w:pStyle w:val="ListBullet"/>
      </w:pPr>
      <w:r>
        <w:rPr>
          <w:sz w:val="22"/>
        </w:rPr>
        <w:t>This is not legal, regulatory, compliance, privacy, tax, financial, actuarial, or audit advice. Regulatory material reflects the author’s understanding as of the date shown on the cover and changes frequently. Obtain advice from qualified counsel and confirm current obligations with your own regulators and supervisors before making decisions.</w:t>
      </w:r>
    </w:p>
    <w:p w14:paraId="509A7E96" w14:textId="77777777" w:rsidR="00E14F8E" w:rsidRDefault="00073CC7">
      <w:pPr>
        <w:pStyle w:val="ListBullet"/>
      </w:pPr>
      <w:r>
        <w:rPr>
          <w:sz w:val="22"/>
        </w:rPr>
        <w:t>Azure and Microsoft service names, capabilities, regional availability, service limits, licensing, and pricing change often, and some capabilities described here may be in preview. Verify everything against current Microsoft documentation and your own commercial agreements before you design, budget, or commit.</w:t>
      </w:r>
    </w:p>
    <w:p w14:paraId="51F72C17" w14:textId="77777777" w:rsidR="00E14F8E" w:rsidRDefault="00073CC7">
      <w:pPr>
        <w:pStyle w:val="ListBullet"/>
      </w:pPr>
      <w:r>
        <w:rPr>
          <w:sz w:val="22"/>
        </w:rPr>
        <w:t>Organization names, roles, metrics, scenarios, and figures are illustrative. “The Organization” is a generic placeholder and does not describe any specific customer, and no confidential or customer-identifying information is included.</w:t>
      </w:r>
    </w:p>
    <w:p w14:paraId="126341E7" w14:textId="77777777" w:rsidR="00E14F8E" w:rsidRDefault="00073CC7">
      <w:pPr>
        <w:pStyle w:val="ListBullet"/>
      </w:pPr>
      <w:r>
        <w:rPr>
          <w:sz w:val="22"/>
        </w:rPr>
        <w:t>Architecture, governance, risk-tiering, and control recommendations are starting points that must be adapted. Accountability for any adoption, deployment, or governance decision remains entirely with the adopting organization.</w:t>
      </w:r>
    </w:p>
    <w:p w14:paraId="04E402B4" w14:textId="77777777" w:rsidR="00E14F8E" w:rsidRDefault="00073CC7">
      <w:r>
        <w:rPr>
          <w:b/>
          <w:sz w:val="22"/>
        </w:rPr>
        <w:t>In short</w:t>
      </w:r>
      <w:r>
        <w:rPr>
          <w:sz w:val="22"/>
        </w:rPr>
        <w:t>: treat this as one practitioner’s structured, self-paced reference, not as a Microsoft deliverable, and not as a substitute for your own legal, risk, security, and architectural review.</w:t>
      </w:r>
    </w:p>
    <w:p w14:paraId="3A486751" w14:textId="77777777" w:rsidR="00E14F8E" w:rsidRDefault="00073CC7">
      <w:r>
        <w:rPr>
          <w:sz w:val="22"/>
        </w:rPr>
        <w:t>Microsoft, Azure, Microsoft 365, Microsoft Entra, Microsoft Purview, Microsoft Fabric, Dynamics 365, Power Apps, and Copilot are trademarks of the Microsoft group of companies. All other trademarks are the property of their respective owners.</w:t>
      </w:r>
    </w:p>
    <w:p w14:paraId="06B0638C" w14:textId="77777777" w:rsidR="00E14F8E" w:rsidRDefault="00073CC7">
      <w:pPr>
        <w:pStyle w:val="Heading2"/>
        <w:pageBreakBefore/>
      </w:pPr>
      <w:bookmarkStart w:id="1" w:name="_Toc241649680"/>
      <w:r>
        <w:lastRenderedPageBreak/>
        <w:t>The Problem</w:t>
      </w:r>
      <w:bookmarkEnd w:id="1"/>
    </w:p>
    <w:p w14:paraId="37E7B286" w14:textId="77777777" w:rsidR="00E14F8E" w:rsidRDefault="00073CC7">
      <w:r>
        <w:t>The organization is already using artificial intelligence, through consumer tools bought on expense claims, features enabled by vendors without notice, and departmental automation provisioned outside review. None of it is inventoried, tiered for risk, evaluated for quality, or attributable to a named owner. The decision in front of leadership is not whether to adopt AI, but whether adoption becomes directed and accountable or remains incidental and unmanaged. Regulators, auditors, insurers, and customers ar</w:t>
      </w:r>
      <w:r>
        <w:t>e now asking for AI inventories, risk classifications, and evidence that controls operate. Those requests are answered either from records that already exist, or through a reconstruction exercise that reveals the absence of underlying discipline.</w:t>
      </w:r>
    </w:p>
    <w:p w14:paraId="4EB88F27" w14:textId="77777777" w:rsidR="00E14F8E" w:rsidRDefault="00073CC7">
      <w:pPr>
        <w:pStyle w:val="Heading2"/>
      </w:pPr>
      <w:bookmarkStart w:id="2" w:name="_Toc241649681"/>
      <w:r>
        <w:t>The Response</w:t>
      </w:r>
      <w:bookmarkEnd w:id="2"/>
    </w:p>
    <w:p w14:paraId="1958A828" w14:textId="77777777" w:rsidR="00E14F8E" w:rsidRDefault="00073CC7">
      <w:r>
        <w:t>The playbook establishes the Chief AI Officer as a decision-making office rather than a coordination function, with documented authority to approve, stop, and suspend AI systems. That authority is exercised through three mandates that operate as one system.</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14F8E" w14:paraId="63BD08C6" w14:textId="77777777">
        <w:trPr>
          <w:tblHeader/>
        </w:trPr>
        <w:tc>
          <w:tcPr>
            <w:tcW w:w="3120" w:type="dxa"/>
            <w:shd w:val="clear" w:color="auto" w:fill="D5E8F0"/>
          </w:tcPr>
          <w:p w14:paraId="7937C9F7" w14:textId="77777777" w:rsidR="00E14F8E" w:rsidRDefault="00073CC7">
            <w:r>
              <w:rPr>
                <w:b/>
                <w:sz w:val="20"/>
              </w:rPr>
              <w:t>Mandate</w:t>
            </w:r>
          </w:p>
        </w:tc>
        <w:tc>
          <w:tcPr>
            <w:tcW w:w="3120" w:type="dxa"/>
            <w:shd w:val="clear" w:color="auto" w:fill="D5E8F0"/>
          </w:tcPr>
          <w:p w14:paraId="6C4BF4DA" w14:textId="77777777" w:rsidR="00E14F8E" w:rsidRDefault="00073CC7">
            <w:r>
              <w:rPr>
                <w:b/>
                <w:sz w:val="20"/>
              </w:rPr>
              <w:t>What It Establishes</w:t>
            </w:r>
          </w:p>
        </w:tc>
        <w:tc>
          <w:tcPr>
            <w:tcW w:w="3120" w:type="dxa"/>
            <w:shd w:val="clear" w:color="auto" w:fill="D5E8F0"/>
          </w:tcPr>
          <w:p w14:paraId="38FD2D3B" w14:textId="77777777" w:rsidR="00E14F8E" w:rsidRDefault="00073CC7">
            <w:r>
              <w:rPr>
                <w:b/>
                <w:sz w:val="20"/>
              </w:rPr>
              <w:t>Why It Is Required</w:t>
            </w:r>
          </w:p>
        </w:tc>
      </w:tr>
      <w:tr w:rsidR="00E14F8E" w14:paraId="13FB0878" w14:textId="77777777">
        <w:tc>
          <w:tcPr>
            <w:tcW w:w="3120" w:type="dxa"/>
          </w:tcPr>
          <w:p w14:paraId="660673B0" w14:textId="77777777" w:rsidR="00E14F8E" w:rsidRDefault="00073CC7">
            <w:r>
              <w:rPr>
                <w:sz w:val="20"/>
              </w:rPr>
              <w:t>Operating Model and Portfolio Governance</w:t>
            </w:r>
          </w:p>
        </w:tc>
        <w:tc>
          <w:tcPr>
            <w:tcW w:w="3120" w:type="dxa"/>
          </w:tcPr>
          <w:p w14:paraId="20910606" w14:textId="77777777" w:rsidR="00E14F8E" w:rsidRDefault="00073CC7">
            <w:r>
              <w:rPr>
                <w:sz w:val="20"/>
              </w:rPr>
              <w:t>A governance council, a complete AI inventory with risk tiers and named owners, intake stage gates, and a decision record</w:t>
            </w:r>
          </w:p>
        </w:tc>
        <w:tc>
          <w:tcPr>
            <w:tcW w:w="3120" w:type="dxa"/>
          </w:tcPr>
          <w:p w14:paraId="76A0DAE9" w14:textId="77777777" w:rsidR="00E14F8E" w:rsidRDefault="00073CC7">
            <w:r>
              <w:rPr>
                <w:sz w:val="20"/>
              </w:rPr>
              <w:t>Decides what is built and who answers for it, converting scattered activity into a directed portfolio</w:t>
            </w:r>
          </w:p>
        </w:tc>
      </w:tr>
      <w:tr w:rsidR="00E14F8E" w14:paraId="50F9A6B2" w14:textId="77777777">
        <w:tc>
          <w:tcPr>
            <w:tcW w:w="3120" w:type="dxa"/>
          </w:tcPr>
          <w:p w14:paraId="2080A5C2" w14:textId="77777777" w:rsidR="00E14F8E" w:rsidRDefault="00073CC7">
            <w:r>
              <w:rPr>
                <w:sz w:val="20"/>
              </w:rPr>
              <w:t>Risk, Assurance and Regulatory Readiness</w:t>
            </w:r>
          </w:p>
        </w:tc>
        <w:tc>
          <w:tcPr>
            <w:tcW w:w="3120" w:type="dxa"/>
          </w:tcPr>
          <w:p w14:paraId="0263C5DE" w14:textId="77777777" w:rsidR="00E14F8E" w:rsidRDefault="00073CC7">
            <w:r>
              <w:rPr>
                <w:sz w:val="20"/>
              </w:rPr>
              <w:t>Evaluation and adversarial testing as blocking release gates, living impact assessments, drift monitoring, and a standing evidence position</w:t>
            </w:r>
          </w:p>
        </w:tc>
        <w:tc>
          <w:tcPr>
            <w:tcW w:w="3120" w:type="dxa"/>
          </w:tcPr>
          <w:p w14:paraId="48AA8694" w14:textId="77777777" w:rsidR="00E14F8E" w:rsidRDefault="00073CC7">
            <w:r>
              <w:rPr>
                <w:sz w:val="20"/>
              </w:rPr>
              <w:t>Proves systems work as claimed, so scrutiny is answered from records rather than from a scramble</w:t>
            </w:r>
          </w:p>
        </w:tc>
      </w:tr>
      <w:tr w:rsidR="00E14F8E" w14:paraId="0A9FB310" w14:textId="77777777">
        <w:tc>
          <w:tcPr>
            <w:tcW w:w="3120" w:type="dxa"/>
          </w:tcPr>
          <w:p w14:paraId="147CDDB9" w14:textId="77777777" w:rsidR="00E14F8E" w:rsidRDefault="00073CC7">
            <w:r>
              <w:rPr>
                <w:sz w:val="20"/>
              </w:rPr>
              <w:t>Platform and Data Foundation on Azure</w:t>
            </w:r>
          </w:p>
        </w:tc>
        <w:tc>
          <w:tcPr>
            <w:tcW w:w="3120" w:type="dxa"/>
          </w:tcPr>
          <w:p w14:paraId="1552BAA2" w14:textId="77777777" w:rsidR="00E14F8E" w:rsidRDefault="00073CC7">
            <w:r>
              <w:rPr>
                <w:sz w:val="20"/>
              </w:rPr>
              <w:t>A governed landing zone, private networking enforced by policy, entitlement-preserving retrieval, shared guardrails, and attributed cost</w:t>
            </w:r>
          </w:p>
        </w:tc>
        <w:tc>
          <w:tcPr>
            <w:tcW w:w="3120" w:type="dxa"/>
          </w:tcPr>
          <w:p w14:paraId="21CE83B6" w14:textId="77777777" w:rsidR="00E14F8E" w:rsidRDefault="00073CC7">
            <w:r>
              <w:rPr>
                <w:sz w:val="20"/>
              </w:rPr>
              <w:t>Makes each initiative cheaper and safer than the last, since uniform construction is what allows governance to be automated</w:t>
            </w:r>
          </w:p>
        </w:tc>
      </w:tr>
    </w:tbl>
    <w:p w14:paraId="2BA52D67" w14:textId="77777777" w:rsidR="00E14F8E" w:rsidRDefault="00E14F8E"/>
    <w:p w14:paraId="7ACB91EB" w14:textId="77777777" w:rsidR="00E14F8E" w:rsidRDefault="00073CC7">
      <w:r>
        <w:t>Each mandate is weakened without the others. Remove the platform and assurance becomes bespoke and unaffordable. Remove assurance and governance becomes ceremonial. Remove governance and the platform serves an ungoverned portfolio very efficiently. Azure is the platform because the control requirements demand it: Microsoft Entra ID carries existing identity and privileged access controls into AI workloads, Azure Policy enforces isolation preventively at scale, Microsoft Purview supplies the classification a</w:t>
      </w:r>
      <w:r>
        <w:t>nd retention the evidence obligations require, and Microsoft Fabric keeps the analytical estate and grounding content in one governed environment.</w:t>
      </w:r>
    </w:p>
    <w:p w14:paraId="6EA9EBD7" w14:textId="77777777" w:rsidR="00E14F8E" w:rsidRDefault="00073CC7">
      <w:pPr>
        <w:pStyle w:val="Heading2"/>
      </w:pPr>
      <w:bookmarkStart w:id="3" w:name="_Toc241649682"/>
      <w:r>
        <w:lastRenderedPageBreak/>
        <w:t>The Economics and the First 90 Days</w:t>
      </w:r>
      <w:bookmarkEnd w:id="3"/>
    </w:p>
    <w:p w14:paraId="07C98089" w14:textId="77777777" w:rsidR="00E14F8E" w:rsidRDefault="00073CC7">
      <w:r>
        <w:t>The first system delivered under this model costs more than it otherwise would, because it pays for the landing zone, retrieval pattern, guardrail layer, evaluation harness, and governance process. The second inherits all of it, and by the fifth both marginal cost and marginal risk are materially lower. This is why the platform and assurance mandates must be funded centrally: charging them to the first use case does not avoid the cost, it defers it and adds the price of retrofitting. The playbook sets a con</w:t>
      </w:r>
      <w:r>
        <w:t>crete first quarter, sequenced authority first, then platform, then pilot.</w:t>
      </w:r>
    </w:p>
    <w:p w14:paraId="5854AAC3" w14:textId="77777777" w:rsidR="00E14F8E" w:rsidRDefault="00073CC7">
      <w:pPr>
        <w:pStyle w:val="ListBullet"/>
      </w:pPr>
      <w:r>
        <w:t>Days 1 to 30: charter and decision rights approved by the chief executive, executive listening tour completed, shadow AI discovery finished, and the mandate portfolio agreed.</w:t>
      </w:r>
    </w:p>
    <w:p w14:paraId="4327CE03" w14:textId="77777777" w:rsidR="00E14F8E" w:rsidRDefault="00073CC7">
      <w:pPr>
        <w:pStyle w:val="ListBullet"/>
      </w:pPr>
      <w:r>
        <w:t>Days 31 to 60: governance council meeting, inventory populated with owners and risk tiers, intake gates live, and the platform foundation deployed.</w:t>
      </w:r>
    </w:p>
    <w:p w14:paraId="69171464" w14:textId="77777777" w:rsidR="00E14F8E" w:rsidRDefault="00073CC7">
      <w:pPr>
        <w:pStyle w:val="ListBullet"/>
      </w:pPr>
      <w:r>
        <w:t>Days 61 to 90: one low-risk pilot in controlled production with evaluation, monitoring, human oversight, and a tested kill switch, with baselines recorded and the first board report delivered.</w:t>
      </w:r>
    </w:p>
    <w:p w14:paraId="35762F39" w14:textId="77777777" w:rsidR="00E14F8E" w:rsidRDefault="00073CC7">
      <w:r>
        <w:t>The principal risk is stated plainly in the playbook: the Chief AI Officer is given accountability without authority. Where that happens, every decision becomes a negotiation and controls are advisory and therefore optional. It is treated as a matter for the board rather than something the officer absorbs.</w:t>
      </w:r>
    </w:p>
    <w:p w14:paraId="11FE70F5" w14:textId="77777777" w:rsidR="00E14F8E" w:rsidRDefault="00073CC7">
      <w:pPr>
        <w:pStyle w:val="Heading2"/>
      </w:pPr>
      <w:bookmarkStart w:id="4" w:name="_Toc241649683"/>
      <w:r>
        <w:t>Decisions Required from Leadership</w:t>
      </w:r>
      <w:bookmarkEnd w:id="4"/>
    </w:p>
    <w:p w14:paraId="694012E9" w14:textId="77777777" w:rsidR="00E14F8E" w:rsidRDefault="00073CC7">
      <w:r>
        <w:t>Six decisions are required within the first month, each owned by a named role.</w:t>
      </w:r>
    </w:p>
    <w:p w14:paraId="5A225F6B" w14:textId="77777777" w:rsidR="00E14F8E" w:rsidRDefault="00073CC7">
      <w:pPr>
        <w:pStyle w:val="ListNumber"/>
      </w:pPr>
      <w:r>
        <w:t>Approve the Chief AI Officer charter and decision rights, and publish them. Owner: Chief Executive Officer.</w:t>
      </w:r>
    </w:p>
    <w:p w14:paraId="73B35F7D" w14:textId="77777777" w:rsidR="00E14F8E" w:rsidRDefault="00073CC7">
      <w:pPr>
        <w:pStyle w:val="ListNumber"/>
      </w:pPr>
      <w:r>
        <w:t>Confirm the funding envelope for the platform and assurance mandates as central capability. Owner: Chief Financial Officer.</w:t>
      </w:r>
    </w:p>
    <w:p w14:paraId="43633386" w14:textId="77777777" w:rsidR="00E14F8E" w:rsidRDefault="00073CC7">
      <w:pPr>
        <w:pStyle w:val="ListNumber"/>
      </w:pPr>
      <w:r>
        <w:t>Constitute the AI Governance Council and confirm its authority to withhold approval. Owner: Chief Executive Officer.</w:t>
      </w:r>
    </w:p>
    <w:p w14:paraId="4FBC71EC" w14:textId="77777777" w:rsidR="00E14F8E" w:rsidRDefault="00073CC7">
      <w:pPr>
        <w:pStyle w:val="ListNumber"/>
      </w:pPr>
      <w:r>
        <w:t>Approve the acceptable use standard and authorize its communication to all staff. Owner: Chief Human Resources Officer with the General Counsel.</w:t>
      </w:r>
    </w:p>
    <w:p w14:paraId="0B6B4733" w14:textId="77777777" w:rsidR="00E14F8E" w:rsidRDefault="00073CC7">
      <w:pPr>
        <w:pStyle w:val="ListNumber"/>
      </w:pPr>
      <w:r>
        <w:t>Release the named individuals and time commitments required for the first quarter. Owner: Chief Information Officer.</w:t>
      </w:r>
    </w:p>
    <w:p w14:paraId="2D97288D" w14:textId="77777777" w:rsidR="00E14F8E" w:rsidRDefault="00073CC7">
      <w:pPr>
        <w:pStyle w:val="ListNumber"/>
      </w:pPr>
      <w:r>
        <w:t>Agree the board reporting cadence and the officer's access to the audit or risk committee. Owner: Board Chair.</w:t>
      </w:r>
    </w:p>
    <w:p w14:paraId="1AFB6578" w14:textId="77777777" w:rsidR="00E14F8E" w:rsidRDefault="00073CC7">
      <w:r>
        <w:t>These controls are not a brake on adoption. They are what allows the organization to move quickly without discovering later that speed was purchased with exposure it did not price. A governed inventory, a shared platform, evaluated systems, and a single accountable officer make it possible to say yes faster, because whether a proposal is safe can be answered in days rather than argued for months.</w:t>
      </w:r>
    </w:p>
    <w:sectPr w:rsidR="00E14F8E"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98484" w14:textId="77777777" w:rsidR="00073CC7" w:rsidRDefault="00073CC7">
      <w:pPr>
        <w:spacing w:after="0" w:line="240" w:lineRule="auto"/>
      </w:pPr>
      <w:r>
        <w:separator/>
      </w:r>
    </w:p>
  </w:endnote>
  <w:endnote w:type="continuationSeparator" w:id="0">
    <w:p w14:paraId="6BBB4470" w14:textId="77777777" w:rsidR="00073CC7" w:rsidRDefault="00073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16C97" w14:textId="77777777" w:rsidR="00E14F8E" w:rsidRDefault="00073CC7">
    <w:pPr>
      <w:pStyle w:val="Footer"/>
    </w:pPr>
    <w:r>
      <w:rPr>
        <w:sz w:val="18"/>
      </w:rPr>
      <w:t>The Organization</w:t>
    </w:r>
    <w:r>
      <w:rPr>
        <w:sz w:val="18"/>
      </w:rPr>
      <w:tab/>
      <w:t xml:space="preserve">Page </w:t>
    </w:r>
    <w:r>
      <w:rPr>
        <w:sz w:val="18"/>
      </w:rPr>
      <w:fldChar w:fldCharType="begin"/>
    </w:r>
    <w:r>
      <w:rPr>
        <w:sz w:val="18"/>
      </w:rPr>
      <w:instrText xml:space="preserve"> PAGE </w:instrText>
    </w:r>
    <w:r>
      <w:rPr>
        <w:sz w:val="18"/>
      </w:rPr>
      <w:fldChar w:fldCharType="separate"/>
    </w:r>
    <w:r w:rsidR="00E10EE4">
      <w:rPr>
        <w:noProof/>
        <w:sz w:val="18"/>
      </w:rPr>
      <w:t>1</w:t>
    </w:r>
    <w:r>
      <w:rPr>
        <w:sz w:val="18"/>
      </w:rPr>
      <w:fldChar w:fldCharType="end"/>
    </w:r>
    <w:r>
      <w:rPr>
        <w:sz w:val="18"/>
      </w:rPr>
      <w:t xml:space="preserve"> of </w:t>
    </w:r>
    <w:r>
      <w:rPr>
        <w:sz w:val="18"/>
      </w:rPr>
      <w:fldChar w:fldCharType="begin"/>
    </w:r>
    <w:r>
      <w:rPr>
        <w:sz w:val="18"/>
      </w:rPr>
      <w:instrText xml:space="preserve"> NUMPAGES </w:instrText>
    </w:r>
    <w:r>
      <w:rPr>
        <w:sz w:val="18"/>
      </w:rPr>
      <w:fldChar w:fldCharType="separate"/>
    </w:r>
    <w:r w:rsidR="00E10EE4">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23937" w14:textId="77777777" w:rsidR="00073CC7" w:rsidRDefault="00073CC7">
      <w:pPr>
        <w:spacing w:after="0" w:line="240" w:lineRule="auto"/>
      </w:pPr>
      <w:r>
        <w:separator/>
      </w:r>
    </w:p>
  </w:footnote>
  <w:footnote w:type="continuationSeparator" w:id="0">
    <w:p w14:paraId="4C1E6D51" w14:textId="77777777" w:rsidR="00073CC7" w:rsidRDefault="00073C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8471E" w14:textId="77777777" w:rsidR="00E14F8E" w:rsidRDefault="00073CC7">
    <w:pPr>
      <w:pStyle w:val="Header"/>
      <w:jc w:val="right"/>
    </w:pPr>
    <w:r>
      <w:rPr>
        <w:sz w:val="18"/>
      </w:rPr>
      <w:t>Chief AI Officer Playbook - 1.0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80539922">
    <w:abstractNumId w:val="8"/>
  </w:num>
  <w:num w:numId="2" w16cid:durableId="567418029">
    <w:abstractNumId w:val="6"/>
  </w:num>
  <w:num w:numId="3" w16cid:durableId="1551309272">
    <w:abstractNumId w:val="5"/>
  </w:num>
  <w:num w:numId="4" w16cid:durableId="1763991032">
    <w:abstractNumId w:val="4"/>
  </w:num>
  <w:num w:numId="5" w16cid:durableId="1240557764">
    <w:abstractNumId w:val="7"/>
  </w:num>
  <w:num w:numId="6" w16cid:durableId="1786147183">
    <w:abstractNumId w:val="3"/>
  </w:num>
  <w:num w:numId="7" w16cid:durableId="1074158285">
    <w:abstractNumId w:val="2"/>
  </w:num>
  <w:num w:numId="8" w16cid:durableId="734744121">
    <w:abstractNumId w:val="1"/>
  </w:num>
  <w:num w:numId="9" w16cid:durableId="1091126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3CC7"/>
    <w:rsid w:val="0015074B"/>
    <w:rsid w:val="0029639D"/>
    <w:rsid w:val="002E21FE"/>
    <w:rsid w:val="00326F90"/>
    <w:rsid w:val="00AA1D8D"/>
    <w:rsid w:val="00B47730"/>
    <w:rsid w:val="00CB0664"/>
    <w:rsid w:val="00E10EE4"/>
    <w:rsid w:val="00E14F8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B1CF82"/>
  <w14:defaultImageDpi w14:val="300"/>
  <w15:docId w15:val="{FA2BF5CF-6277-466C-8869-BB5B240A1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eastAsia="Arial" w:hAnsi="Arial" w:cs="Arial"/>
      <w:sz w:val="21"/>
    </w:rPr>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b/>
      <w:bCs/>
      <w:color w:val="1F3964"/>
      <w:sz w:val="36"/>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1F3964"/>
      <w:sz w:val="28"/>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1F3964"/>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E10EE4"/>
  </w:style>
  <w:style w:type="paragraph" w:styleId="TOC2">
    <w:name w:val="toc 2"/>
    <w:basedOn w:val="Normal"/>
    <w:next w:val="Normal"/>
    <w:autoRedefine/>
    <w:uiPriority w:val="39"/>
    <w:unhideWhenUsed/>
    <w:rsid w:val="00E10EE4"/>
    <w:pPr>
      <w:ind w:left="210"/>
    </w:pPr>
  </w:style>
  <w:style w:type="character" w:styleId="Hyperlink">
    <w:name w:val="Hyperlink"/>
    <w:basedOn w:val="DefaultParagraphFont"/>
    <w:uiPriority w:val="99"/>
    <w:unhideWhenUsed/>
    <w:rsid w:val="00E10EE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1293</Words>
  <Characters>7585</Characters>
  <Application>Microsoft Office Word</Application>
  <DocSecurity>0</DocSecurity>
  <Lines>146</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Straumann</dc:creator>
  <cp:keywords/>
  <dc:description>generated by python-docx</dc:description>
  <cp:lastModifiedBy>John Straumann</cp:lastModifiedBy>
  <cp:revision>2</cp:revision>
  <dcterms:created xsi:type="dcterms:W3CDTF">2013-12-23T23:15:00Z</dcterms:created>
  <dcterms:modified xsi:type="dcterms:W3CDTF">2026-09-30T12:34:00Z</dcterms:modified>
  <cp:category/>
</cp:coreProperties>
</file>